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2866" w14:textId="77777777" w:rsidR="00AB7040" w:rsidRDefault="00334BA5">
      <w:pPr>
        <w:spacing w:after="360"/>
        <w:jc w:val="center"/>
        <w:rPr>
          <w:b/>
          <w:bCs/>
          <w:sz w:val="28"/>
        </w:rPr>
      </w:pPr>
      <w:r>
        <w:rPr>
          <w:b/>
          <w:bCs/>
          <w:sz w:val="28"/>
        </w:rPr>
        <w:t>Scope of Work</w:t>
      </w:r>
    </w:p>
    <w:p w14:paraId="78D7996F" w14:textId="2772B6B5" w:rsidR="00AB7040" w:rsidRDefault="00334BA5">
      <w:pPr>
        <w:spacing w:after="0"/>
        <w:jc w:val="both"/>
      </w:pPr>
      <w:r>
        <w:rPr>
          <w:b/>
        </w:rPr>
        <w:t>Firm or Individual:</w:t>
      </w:r>
      <w:r>
        <w:rPr>
          <w:b/>
        </w:rPr>
        <w:tab/>
      </w:r>
      <w:r w:rsidR="00D37F8A">
        <w:rPr>
          <w:bCs/>
        </w:rPr>
        <w:t>Individual</w:t>
      </w:r>
      <w:r w:rsidR="00F96980">
        <w:rPr>
          <w:bCs/>
        </w:rPr>
        <w:t>/Firm</w:t>
      </w:r>
      <w:r>
        <w:fldChar w:fldCharType="begin"/>
      </w:r>
      <w:r>
        <w:instrText xml:space="preserve"> COMMENTS   \* MERGEFORMAT </w:instrText>
      </w:r>
      <w:r>
        <w:fldChar w:fldCharType="end"/>
      </w:r>
    </w:p>
    <w:p w14:paraId="02262300" w14:textId="2EDD2464" w:rsidR="00AB7040" w:rsidRDefault="00334BA5">
      <w:pPr>
        <w:spacing w:after="0"/>
        <w:ind w:left="2160" w:hanging="2160"/>
        <w:jc w:val="both"/>
      </w:pPr>
      <w:r>
        <w:rPr>
          <w:b/>
        </w:rPr>
        <w:t>Program:</w:t>
      </w:r>
      <w:r>
        <w:t xml:space="preserve">  </w:t>
      </w:r>
      <w:r>
        <w:tab/>
      </w:r>
      <w:r>
        <w:rPr>
          <w:rFonts w:cstheme="minorHAnsi"/>
        </w:rPr>
        <w:t xml:space="preserve">AgriFin </w:t>
      </w:r>
      <w:r w:rsidR="00C647A4">
        <w:rPr>
          <w:rFonts w:cstheme="minorHAnsi"/>
        </w:rPr>
        <w:t>Program</w:t>
      </w:r>
      <w:r>
        <w:rPr>
          <w:rFonts w:cstheme="minorHAnsi"/>
        </w:rPr>
        <w:t xml:space="preserve"> </w:t>
      </w:r>
    </w:p>
    <w:p w14:paraId="0C196B3B" w14:textId="382AD9C7" w:rsidR="00AB7040" w:rsidRDefault="00334BA5">
      <w:pPr>
        <w:spacing w:after="0" w:line="240" w:lineRule="auto"/>
        <w:ind w:left="2160" w:hanging="2160"/>
        <w:jc w:val="both"/>
        <w:rPr>
          <w:rFonts w:ascii="Calibri" w:hAnsi="Calibri" w:cs="Arial"/>
        </w:rPr>
      </w:pPr>
      <w:r>
        <w:rPr>
          <w:rFonts w:ascii="Calibri" w:hAnsi="Calibri" w:cs="Arial"/>
          <w:b/>
        </w:rPr>
        <w:t>Scope of Project:</w:t>
      </w:r>
      <w:r>
        <w:rPr>
          <w:rFonts w:ascii="Calibri" w:hAnsi="Calibri" w:cs="Arial"/>
          <w:b/>
        </w:rPr>
        <w:tab/>
      </w:r>
      <w:r w:rsidR="00F96980">
        <w:rPr>
          <w:rFonts w:ascii="Calibri" w:hAnsi="Calibri" w:cs="Arial"/>
          <w:b/>
        </w:rPr>
        <w:t>D</w:t>
      </w:r>
      <w:r w:rsidR="008F30A8" w:rsidRPr="008F30A8">
        <w:rPr>
          <w:rFonts w:ascii="Calibri" w:hAnsi="Calibri" w:cs="Arial"/>
          <w:bCs/>
        </w:rPr>
        <w:t>evelopment</w:t>
      </w:r>
      <w:r w:rsidR="009314DE">
        <w:rPr>
          <w:rFonts w:ascii="Calibri" w:hAnsi="Calibri" w:cs="Arial"/>
          <w:bCs/>
        </w:rPr>
        <w:t xml:space="preserve"> of </w:t>
      </w:r>
      <w:r w:rsidR="00660187">
        <w:rPr>
          <w:rFonts w:ascii="Calibri" w:hAnsi="Calibri" w:cs="Arial"/>
          <w:bCs/>
        </w:rPr>
        <w:t xml:space="preserve">technical and MEL </w:t>
      </w:r>
      <w:r w:rsidR="00F96980">
        <w:rPr>
          <w:rFonts w:ascii="Calibri" w:hAnsi="Calibri" w:cs="Arial"/>
          <w:bCs/>
        </w:rPr>
        <w:t>Learning output</w:t>
      </w:r>
      <w:r w:rsidR="00660187">
        <w:rPr>
          <w:rFonts w:ascii="Calibri" w:hAnsi="Calibri" w:cs="Arial"/>
          <w:bCs/>
        </w:rPr>
        <w:t>s</w:t>
      </w:r>
      <w:r w:rsidR="00F96980">
        <w:rPr>
          <w:rFonts w:ascii="Calibri" w:hAnsi="Calibri" w:cs="Arial"/>
          <w:bCs/>
        </w:rPr>
        <w:t xml:space="preserve"> </w:t>
      </w:r>
      <w:r w:rsidR="00C647A4" w:rsidRPr="002C6DF8">
        <w:rPr>
          <w:rFonts w:ascii="Calibri" w:hAnsi="Calibri" w:cs="Arial"/>
          <w:bCs/>
        </w:rPr>
        <w:t>consultancy</w:t>
      </w:r>
    </w:p>
    <w:p w14:paraId="46335AB4" w14:textId="77777777" w:rsidR="00AB7040" w:rsidRDefault="00334BA5">
      <w:pPr>
        <w:spacing w:after="0" w:line="240" w:lineRule="auto"/>
        <w:jc w:val="both"/>
        <w:rPr>
          <w:rFonts w:ascii="Calibri" w:hAnsi="Calibri" w:cs="Arial"/>
        </w:rPr>
      </w:pPr>
      <w:r>
        <w:rPr>
          <w:rFonts w:ascii="Calibri" w:hAnsi="Calibri" w:cs="Arial"/>
          <w:b/>
        </w:rPr>
        <w:t>Country:</w:t>
      </w:r>
      <w:r>
        <w:rPr>
          <w:rFonts w:ascii="Calibri" w:hAnsi="Calibri" w:cs="Arial"/>
        </w:rPr>
        <w:tab/>
      </w:r>
      <w:r>
        <w:rPr>
          <w:rFonts w:ascii="Calibri" w:hAnsi="Calibri" w:cs="Arial"/>
        </w:rPr>
        <w:tab/>
        <w:t>Kenya, Tanzania, Uganda, Ethiopia &amp; Nigeria</w:t>
      </w:r>
    </w:p>
    <w:p w14:paraId="3B2B7290" w14:textId="6B6BA63D" w:rsidR="00AB7040" w:rsidRDefault="00334BA5">
      <w:pPr>
        <w:spacing w:after="0" w:line="240" w:lineRule="auto"/>
        <w:jc w:val="both"/>
        <w:rPr>
          <w:rFonts w:ascii="Calibri" w:hAnsi="Calibri" w:cs="Arial"/>
        </w:rPr>
      </w:pPr>
      <w:r w:rsidRPr="00D749AA">
        <w:rPr>
          <w:b/>
          <w:bCs/>
        </w:rPr>
        <w:t>From:</w:t>
      </w:r>
      <w:r>
        <w:tab/>
      </w:r>
      <w:r>
        <w:tab/>
      </w:r>
      <w:r>
        <w:tab/>
      </w:r>
      <w:r w:rsidR="00F96980">
        <w:t>1</w:t>
      </w:r>
      <w:r w:rsidR="00660187">
        <w:t>7</w:t>
      </w:r>
      <w:r w:rsidR="00F96980" w:rsidRPr="00F96980">
        <w:rPr>
          <w:vertAlign w:val="superscript"/>
        </w:rPr>
        <w:t>th</w:t>
      </w:r>
      <w:r w:rsidR="00F96980">
        <w:t xml:space="preserve"> November 2025</w:t>
      </w:r>
    </w:p>
    <w:p w14:paraId="0CD6DE4D" w14:textId="6651EE60" w:rsidR="00AB7040" w:rsidRDefault="00334BA5">
      <w:pPr>
        <w:spacing w:after="0" w:line="240" w:lineRule="auto"/>
      </w:pPr>
      <w:r w:rsidRPr="00D749AA">
        <w:rPr>
          <w:b/>
          <w:bCs/>
        </w:rPr>
        <w:t>To:</w:t>
      </w:r>
      <w:r>
        <w:tab/>
      </w:r>
      <w:r>
        <w:tab/>
      </w:r>
      <w:r>
        <w:tab/>
      </w:r>
      <w:r w:rsidR="00F96980">
        <w:t>1</w:t>
      </w:r>
      <w:r w:rsidR="00660187">
        <w:t>9</w:t>
      </w:r>
      <w:r w:rsidR="00F96980" w:rsidRPr="00F96980">
        <w:rPr>
          <w:vertAlign w:val="superscript"/>
        </w:rPr>
        <w:t>th</w:t>
      </w:r>
      <w:r w:rsidR="00F96980">
        <w:t xml:space="preserve"> December 2025</w:t>
      </w:r>
    </w:p>
    <w:p w14:paraId="2A1AD73D" w14:textId="74E37592" w:rsidR="00AB7040" w:rsidRDefault="00334BA5">
      <w:pPr>
        <w:spacing w:after="0" w:line="240" w:lineRule="auto"/>
      </w:pPr>
      <w:r w:rsidRPr="00D749AA">
        <w:rPr>
          <w:b/>
          <w:bCs/>
        </w:rPr>
        <w:t>Task Manager:</w:t>
      </w:r>
      <w:r w:rsidRPr="00D749AA">
        <w:rPr>
          <w:b/>
          <w:bCs/>
        </w:rPr>
        <w:tab/>
      </w:r>
      <w:r>
        <w:t xml:space="preserve">              Mercy Corps AGRIFIN </w:t>
      </w:r>
      <w:r w:rsidR="002C6DF8">
        <w:t xml:space="preserve">Strategic Learning </w:t>
      </w:r>
      <w:r>
        <w:t>Director</w:t>
      </w:r>
    </w:p>
    <w:p w14:paraId="62BFF987" w14:textId="72D8B823" w:rsidR="00AB7040" w:rsidRDefault="00334BA5">
      <w:pPr>
        <w:spacing w:after="0" w:line="240" w:lineRule="auto"/>
        <w:ind w:left="2160" w:hanging="2160"/>
        <w:jc w:val="both"/>
      </w:pPr>
      <w:r w:rsidRPr="00D749AA">
        <w:rPr>
          <w:b/>
          <w:bCs/>
        </w:rPr>
        <w:t>Technical Manager:</w:t>
      </w:r>
      <w:r>
        <w:t xml:space="preserve">       Mercy Corps AGRIFIN MERA</w:t>
      </w:r>
      <w:r w:rsidR="00F96980">
        <w:t>L Manager</w:t>
      </w:r>
    </w:p>
    <w:p w14:paraId="79D49CFC" w14:textId="77777777" w:rsidR="00AB7040" w:rsidRDefault="00AB7040">
      <w:pPr>
        <w:spacing w:after="0" w:line="240" w:lineRule="auto"/>
        <w:ind w:left="630"/>
        <w:jc w:val="both"/>
      </w:pPr>
    </w:p>
    <w:p w14:paraId="6C9773CB" w14:textId="77777777" w:rsidR="00AB7040" w:rsidRDefault="00334BA5">
      <w:pPr>
        <w:shd w:val="clear" w:color="auto" w:fill="B80000"/>
        <w:spacing w:after="120"/>
        <w:jc w:val="both"/>
        <w:rPr>
          <w:b/>
          <w:bCs/>
          <w:color w:val="FFFFFF"/>
        </w:rPr>
      </w:pPr>
      <w:r>
        <w:rPr>
          <w:b/>
          <w:bCs/>
          <w:color w:val="FFFFFF"/>
        </w:rPr>
        <w:t>Program Context</w:t>
      </w:r>
      <w:r>
        <w:rPr>
          <w:b/>
          <w:bCs/>
          <w:color w:val="FFFFFF"/>
        </w:rPr>
        <w:tab/>
      </w:r>
      <w:r>
        <w:rPr>
          <w:b/>
          <w:bCs/>
          <w:color w:val="FFFFFF"/>
        </w:rPr>
        <w:tab/>
      </w:r>
      <w:r>
        <w:rPr>
          <w:b/>
          <w:bCs/>
          <w:color w:val="FFFFFF"/>
        </w:rPr>
        <w:tab/>
      </w:r>
      <w:r>
        <w:rPr>
          <w:b/>
          <w:bCs/>
          <w:color w:val="FFFFFF"/>
        </w:rPr>
        <w:tab/>
      </w:r>
      <w:r>
        <w:rPr>
          <w:b/>
          <w:bCs/>
          <w:color w:val="FFFFFF"/>
        </w:rPr>
        <w:tab/>
      </w:r>
      <w:r>
        <w:rPr>
          <w:b/>
          <w:bCs/>
          <w:color w:val="FFFFFF"/>
        </w:rPr>
        <w:tab/>
      </w:r>
      <w:r>
        <w:rPr>
          <w:b/>
          <w:bCs/>
          <w:color w:val="FFFFFF"/>
          <w:shd w:val="clear" w:color="auto" w:fill="B80000"/>
        </w:rPr>
        <w:tab/>
      </w:r>
      <w:r>
        <w:rPr>
          <w:b/>
          <w:bCs/>
          <w:color w:val="FFFFFF"/>
          <w:shd w:val="clear" w:color="auto" w:fill="B80000"/>
        </w:rPr>
        <w:tab/>
      </w:r>
      <w:r>
        <w:rPr>
          <w:b/>
          <w:bCs/>
          <w:color w:val="FFFFFF"/>
        </w:rPr>
        <w:tab/>
      </w:r>
      <w:r>
        <w:rPr>
          <w:b/>
          <w:bCs/>
          <w:color w:val="FFFFFF"/>
        </w:rPr>
        <w:tab/>
      </w:r>
      <w:r>
        <w:rPr>
          <w:b/>
          <w:bCs/>
          <w:color w:val="FFFFFF"/>
        </w:rPr>
        <w:tab/>
      </w:r>
    </w:p>
    <w:p w14:paraId="09422384" w14:textId="5949936F" w:rsidR="00AB7040" w:rsidRDefault="0026192D">
      <w:pPr>
        <w:pStyle w:val="ListParagraph"/>
        <w:spacing w:after="120" w:line="240" w:lineRule="auto"/>
        <w:ind w:left="0"/>
        <w:contextualSpacing w:val="0"/>
        <w:jc w:val="both"/>
      </w:pPr>
      <w:r>
        <w:rPr>
          <w:noProof/>
        </w:rPr>
        <mc:AlternateContent>
          <mc:Choice Requires="wps">
            <w:drawing>
              <wp:anchor distT="0" distB="0" distL="114300" distR="114300" simplePos="0" relativeHeight="251659264" behindDoc="0" locked="0" layoutInCell="1" allowOverlap="1" wp14:anchorId="1C0E7E6E" wp14:editId="7C021F01">
                <wp:simplePos x="0" y="0"/>
                <wp:positionH relativeFrom="column">
                  <wp:posOffset>3636010</wp:posOffset>
                </wp:positionH>
                <wp:positionV relativeFrom="paragraph">
                  <wp:posOffset>758825</wp:posOffset>
                </wp:positionV>
                <wp:extent cx="2306955" cy="1948180"/>
                <wp:effectExtent l="0" t="0" r="0" b="0"/>
                <wp:wrapSquare wrapText="bothSides"/>
                <wp:docPr id="9085755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948180"/>
                        </a:xfrm>
                        <a:prstGeom prst="rect">
                          <a:avLst/>
                        </a:prstGeom>
                        <a:solidFill>
                          <a:schemeClr val="bg1">
                            <a:lumMod val="95000"/>
                          </a:schemeClr>
                        </a:solidFill>
                        <a:ln w="9525">
                          <a:solidFill>
                            <a:srgbClr val="000000"/>
                          </a:solidFill>
                          <a:miter lim="800000"/>
                        </a:ln>
                      </wps:spPr>
                      <wps:txbx>
                        <w:txbxContent>
                          <w:p w14:paraId="5471A4DD" w14:textId="77777777" w:rsidR="00AB7040" w:rsidRDefault="00334BA5">
                            <w:pPr>
                              <w:spacing w:after="0"/>
                              <w:jc w:val="center"/>
                              <w:rPr>
                                <w:rFonts w:ascii="Times New Roman" w:hAnsi="Times New Roman"/>
                                <w:b/>
                                <w:color w:val="9E1B32"/>
                              </w:rPr>
                            </w:pPr>
                            <w:r>
                              <w:rPr>
                                <w:rFonts w:ascii="Times New Roman" w:hAnsi="Times New Roman"/>
                                <w:b/>
                                <w:color w:val="9E1B32"/>
                              </w:rPr>
                              <w:t>Transformational Potential of Agriculture</w:t>
                            </w:r>
                          </w:p>
                          <w:p w14:paraId="26CE841C" w14:textId="77777777" w:rsidR="00AB7040" w:rsidRDefault="00334BA5">
                            <w:pPr>
                              <w:spacing w:after="0"/>
                              <w:jc w:val="both"/>
                              <w:rPr>
                                <w:rFonts w:ascii="Times New Roman" w:hAnsi="Times New Roman"/>
                              </w:rPr>
                            </w:pPr>
                            <w:r>
                              <w:rPr>
                                <w:rFonts w:ascii="Times New Roman" w:hAnsi="Times New Roman"/>
                              </w:rPr>
                              <w:t>Agriculture has been found to play a powerful role in poverty reduction, especially when agricultural development has focused on small farms grow. It is estimated that a 1% increase in crop productivity reduces the number of poor people by 0.72% in Africa.</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1C0E7E6E" id="_x0000_t202" coordsize="21600,21600" o:spt="202" path="m,l,21600r21600,l21600,xe">
                <v:stroke joinstyle="miter"/>
                <v:path gradientshapeok="t" o:connecttype="rect"/>
              </v:shapetype>
              <v:shape id="Text Box 1" o:spid="_x0000_s1026" type="#_x0000_t202" style="position:absolute;left:0;text-align:left;margin-left:286.3pt;margin-top:59.75pt;width:181.65pt;height:153.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veGAIAACsEAAAOAAAAZHJzL2Uyb0RvYy54bWysU9tu2zAMfR+wfxD0vtjO4i4x4hRdigwD&#10;ugvQ7QNkWbaFyaImKbG7rx8lJ6m7vQ17EUSROiQPD7e3Y6/ISVgnQZc0W6SUCM2hlrot6fdvhzdr&#10;SpxnumYKtCjpk3D0dvf61XYwhVhCB6oWliCIdsVgStp5b4okcbwTPXMLMEKjswHbM4+mbZPasgHR&#10;e5Us0/QmGcDWxgIXzuHr/eSku4jfNIL7L03jhCeqpFibj6eNZxXOZLdlRWuZ6SQ/l8H+oYqeSY1J&#10;r1D3zDNytPIvqF5yCw4av+DQJ9A0kovYA3aTpX9089gxI2IvSI4zV5rc/4Pln0+P5qslfnwPIw4w&#10;NuHMA/AfjmjYd0y34s5aGDrBakycBcqSwbji/DVQ7QoXQKrhE9Q4ZHb0EIHGxvaBFeyTIDoO4OlK&#10;uhg94fi4fJvebPKcEo6+bLNaZ+s4loQVl+/GOv9BQE/CpaQWpxrh2enB+VAOKy4hIZsDJeuDVCoa&#10;QUliryw5MdRA1U4tqmOPtU5vmzxNLymj8EJ4RH2BpDQZSrrJl/lE0osstq2uORBtBjgP66VHtSvZ&#10;l3Q9D1L6zGmgcSLUj9WIrQVuK6ifkF0Lk3px2/DSgf1FyYDKLan7eWRWUKI+apzQJlutgtSjscrf&#10;LdGwc0819zDNEaqknpLpuvdxPSJ35g4neZCR4+dKzrWiIiNJ5+0Jkp/bMep5x3e/AQAA//8DAFBL&#10;AwQUAAYACAAAACEAX4aA8uAAAAALAQAADwAAAGRycy9kb3ducmV2LnhtbEyPQU+EMBCF7yb+h2ZM&#10;vLllQUCQsjFGb3sQ1vXcpSMQaUva7i766x1P63Hyvrz3TbVZ9MRO6PxojYD1KgKGprNqNL2A993r&#10;3QMwH6RRcrIGBXyjh019fVXJUtmzafDUhp5RifGlFDCEMJec+25ALf3Kzmgo+7ROy0Cn67ly8kzl&#10;euJxFGVcy9HQwiBnfB6w+2qPmnb37if3bbSP9Ueya5pm+/aSb4W4vVmeHoEFXMIFhj99UoeanA72&#10;aJRnk4A0jzNCKVgXKTAiiiQtgB0E3MdZAryu+P8f6l8AAAD//wMAUEsBAi0AFAAGAAgAAAAhALaD&#10;OJL+AAAA4QEAABMAAAAAAAAAAAAAAAAAAAAAAFtDb250ZW50X1R5cGVzXS54bWxQSwECLQAUAAYA&#10;CAAAACEAOP0h/9YAAACUAQAACwAAAAAAAAAAAAAAAAAvAQAAX3JlbHMvLnJlbHNQSwECLQAUAAYA&#10;CAAAACEA4C0b3hgCAAArBAAADgAAAAAAAAAAAAAAAAAuAgAAZHJzL2Uyb0RvYy54bWxQSwECLQAU&#10;AAYACAAAACEAX4aA8uAAAAALAQAADwAAAAAAAAAAAAAAAAByBAAAZHJzL2Rvd25yZXYueG1sUEsF&#10;BgAAAAAEAAQA8wAAAH8FAAAAAA==&#10;" fillcolor="#f2f2f2 [3052]">
                <v:textbox style="mso-fit-shape-to-text:t">
                  <w:txbxContent>
                    <w:p w14:paraId="5471A4DD" w14:textId="77777777" w:rsidR="00AB7040" w:rsidRDefault="00334BA5">
                      <w:pPr>
                        <w:spacing w:after="0"/>
                        <w:jc w:val="center"/>
                        <w:rPr>
                          <w:rFonts w:ascii="Times New Roman" w:hAnsi="Times New Roman"/>
                          <w:b/>
                          <w:color w:val="9E1B32"/>
                        </w:rPr>
                      </w:pPr>
                      <w:r>
                        <w:rPr>
                          <w:rFonts w:ascii="Times New Roman" w:hAnsi="Times New Roman"/>
                          <w:b/>
                          <w:color w:val="9E1B32"/>
                        </w:rPr>
                        <w:t>Transformational Potential of Agriculture</w:t>
                      </w:r>
                    </w:p>
                    <w:p w14:paraId="26CE841C" w14:textId="77777777" w:rsidR="00AB7040" w:rsidRDefault="00334BA5">
                      <w:pPr>
                        <w:spacing w:after="0"/>
                        <w:jc w:val="both"/>
                        <w:rPr>
                          <w:rFonts w:ascii="Times New Roman" w:hAnsi="Times New Roman"/>
                        </w:rPr>
                      </w:pPr>
                      <w:r>
                        <w:rPr>
                          <w:rFonts w:ascii="Times New Roman" w:hAnsi="Times New Roman"/>
                        </w:rPr>
                        <w:t>Agriculture has been found to play a powerful role in poverty reduction, especially when agricultural development has focused on small farms grow. It is estimated that a 1% increase in crop productivity reduces the number of poor people by 0.72% in Africa.</w:t>
                      </w:r>
                    </w:p>
                  </w:txbxContent>
                </v:textbox>
                <w10:wrap type="square"/>
              </v:shape>
            </w:pict>
          </mc:Fallback>
        </mc:AlternateContent>
      </w:r>
      <w:r w:rsidR="00334BA5">
        <w:rPr>
          <w:rFonts w:cs="Giovanni Book"/>
        </w:rPr>
        <w:t>Nearly one and a half billion poor people live on less than US$1.25 a day. One billion of them live in rural areas where agriculture is their main source of livelihood</w:t>
      </w:r>
      <w:r w:rsidR="00334BA5">
        <w:rPr>
          <w:rStyle w:val="EndnoteReference"/>
          <w:rFonts w:cs="Giovanni Book"/>
        </w:rPr>
        <w:endnoteReference w:id="1"/>
      </w:r>
      <w:r w:rsidR="00334BA5">
        <w:rPr>
          <w:rFonts w:cs="Giovanni Book"/>
        </w:rPr>
        <w:t xml:space="preserve">. </w:t>
      </w:r>
      <w:r w:rsidR="00334BA5">
        <w:t xml:space="preserve">An estimated 70 million </w:t>
      </w:r>
      <w:r w:rsidR="00974197">
        <w:t xml:space="preserve">smallholder farmers (SHF) live in Sub-Saharan Africa, and over half </w:t>
      </w:r>
      <w:r w:rsidR="00334BA5">
        <w:t>are women</w:t>
      </w:r>
      <w:r w:rsidR="00334BA5">
        <w:rPr>
          <w:rStyle w:val="EndnoteReference"/>
        </w:rPr>
        <w:endnoteReference w:id="2"/>
      </w:r>
      <w:r w:rsidR="00334BA5">
        <w:t xml:space="preserve">. </w:t>
      </w:r>
      <w:r w:rsidR="00334BA5">
        <w:rPr>
          <w:rFonts w:cs="Giovanni Book"/>
        </w:rPr>
        <w:t>Smallholders,</w:t>
      </w:r>
      <w:r w:rsidR="00334BA5">
        <w:t xml:space="preserve"> who typically farm two hectares or less, </w:t>
      </w:r>
      <w:r w:rsidR="00334BA5">
        <w:rPr>
          <w:rFonts w:cs="Giovanni Book"/>
        </w:rPr>
        <w:t>provide over 80% of the food consumed in a large part of the developing world, contributing significantly to poverty reduction and food security</w:t>
      </w:r>
      <w:r w:rsidR="00334BA5">
        <w:rPr>
          <w:rStyle w:val="EndnoteReference"/>
        </w:rPr>
        <w:endnoteReference w:id="3"/>
      </w:r>
      <w:r w:rsidR="00334BA5">
        <w:rPr>
          <w:rFonts w:cs="Giovanni Book"/>
        </w:rPr>
        <w:t xml:space="preserve">. However, increasing fragmentation of landholdings, especially in infrastructure, coupled with reduced investment support, </w:t>
      </w:r>
      <w:r w:rsidR="00334BA5">
        <w:t xml:space="preserve">growing competition for land and water, rising input prices and climate change </w:t>
      </w:r>
      <w:r w:rsidR="00334BA5">
        <w:rPr>
          <w:rFonts w:cs="Giovanni Book"/>
        </w:rPr>
        <w:t xml:space="preserve">threaten this contribution, leaving many smallholders increasingly vulnerable. </w:t>
      </w:r>
    </w:p>
    <w:p w14:paraId="495940AA" w14:textId="717651A8" w:rsidR="00AB7040" w:rsidRDefault="00334BA5">
      <w:pPr>
        <w:autoSpaceDE w:val="0"/>
        <w:autoSpaceDN w:val="0"/>
        <w:adjustRightInd w:val="0"/>
        <w:spacing w:after="120" w:line="240" w:lineRule="auto"/>
        <w:jc w:val="both"/>
        <w:rPr>
          <w:rFonts w:cs="Frutiger-Light"/>
        </w:rPr>
      </w:pPr>
      <w:r>
        <w:rPr>
          <w:rFonts w:cs="Frutiger-Light"/>
        </w:rPr>
        <w:t>Given increasing world populations and demand for food, SHFs occupy an important segment of the global agricultural value chain</w:t>
      </w:r>
      <w:r>
        <w:rPr>
          <w:rStyle w:val="EndnoteReference"/>
          <w:rFonts w:cs="Frutiger-Light"/>
        </w:rPr>
        <w:endnoteReference w:id="4"/>
      </w:r>
      <w:r>
        <w:rPr>
          <w:rFonts w:cs="Frutiger-Light"/>
        </w:rPr>
        <w:t>. Multinational buyers will increasingly rely on smallholders to secure their supply of commodities and to help satisfy consumer sustainability preferences</w:t>
      </w:r>
      <w:r>
        <w:rPr>
          <w:rStyle w:val="EndnoteReference"/>
          <w:rFonts w:cs="Frutiger-Light"/>
        </w:rPr>
        <w:endnoteReference w:id="5"/>
      </w:r>
      <w:r>
        <w:rPr>
          <w:rFonts w:cs="Frutiger-Light"/>
        </w:rPr>
        <w:t xml:space="preserve">. At an estimated $450 billion, the global demand for smallholder agricultural finance is large—and largely unmet. </w:t>
      </w:r>
      <w:r>
        <w:t>Credit provided by informal and formal financial institutions, as well as value chain actors, currently only meets an estimated USD 50 billion of the more than USD 200 billion need for smallholder finance in the regions of sub-Saharan Africa, Latin America, and South and Southeast Asia</w:t>
      </w:r>
      <w:r>
        <w:rPr>
          <w:rStyle w:val="EndnoteReference"/>
        </w:rPr>
        <w:endnoteReference w:id="6"/>
      </w:r>
      <w:r>
        <w:t xml:space="preserve">. </w:t>
      </w:r>
      <w:r w:rsidR="00974197">
        <w:rPr>
          <w:rFonts w:cs="Frutiger-Light"/>
        </w:rPr>
        <w:t>Impact-driven</w:t>
      </w:r>
      <w:r>
        <w:rPr>
          <w:rFonts w:cs="Frutiger-Light"/>
        </w:rPr>
        <w:t xml:space="preserve"> smallholder agricultural lenders, such as Root Capital in Kenya and elsewhere, currently satisfy less than two percent of the demand.</w:t>
      </w:r>
      <w:r>
        <w:rPr>
          <w:rStyle w:val="EndnoteReference"/>
          <w:rFonts w:cs="Frutiger-Light"/>
        </w:rPr>
        <w:endnoteReference w:id="7"/>
      </w:r>
      <w:r>
        <w:rPr>
          <w:rFonts w:cs="Frutiger-Light"/>
        </w:rPr>
        <w:t xml:space="preserve">  The volume and value of savings, lending and payment transaction SHFs in most African countries is not specifically measured.</w:t>
      </w:r>
    </w:p>
    <w:p w14:paraId="677D98EA" w14:textId="1074E489" w:rsidR="00AB7040" w:rsidRDefault="00334BA5" w:rsidP="00974197">
      <w:pPr>
        <w:autoSpaceDE w:val="0"/>
        <w:autoSpaceDN w:val="0"/>
        <w:adjustRightInd w:val="0"/>
        <w:spacing w:after="120" w:line="240" w:lineRule="auto"/>
        <w:jc w:val="both"/>
        <w:rPr>
          <w:rFonts w:cs="Avenir 55 Roman"/>
        </w:rPr>
      </w:pPr>
      <w:r>
        <w:rPr>
          <w:rFonts w:cs="Avenir 55 Roman"/>
          <w:bCs/>
        </w:rPr>
        <w:t xml:space="preserve">Mobile phones </w:t>
      </w:r>
      <w:r>
        <w:rPr>
          <w:rFonts w:cs="Avenir 55 Roman"/>
        </w:rPr>
        <w:t xml:space="preserve">are a powerful tool to access the electronic national retail payments system and enable vast numbers of clients to use a range of financial and informational services at lower cost. In agriculture, progressively more services are being delivered via mobile phone and </w:t>
      </w:r>
      <w:r>
        <w:rPr>
          <w:rFonts w:cs="Avenir 55 Roman"/>
          <w:bCs/>
        </w:rPr>
        <w:t xml:space="preserve">as it was revealed in the 2015 </w:t>
      </w:r>
      <w:r>
        <w:rPr>
          <w:rFonts w:ascii="Calibri" w:hAnsi="Calibri" w:cs="Arial"/>
        </w:rPr>
        <w:t>Farmer Benchmark and Payment Study, 92% of the respondents owned at least one mobile phone</w:t>
      </w:r>
      <w:r>
        <w:rPr>
          <w:rFonts w:cs="Avenir 55 Roman"/>
        </w:rPr>
        <w:t xml:space="preserve">. Applications such as </w:t>
      </w:r>
      <w:proofErr w:type="spellStart"/>
      <w:r>
        <w:rPr>
          <w:rFonts w:cs="Avenir 55 Roman"/>
        </w:rPr>
        <w:t>iShamba</w:t>
      </w:r>
      <w:proofErr w:type="spellEnd"/>
      <w:r>
        <w:rPr>
          <w:rFonts w:cs="Avenir 55 Roman"/>
        </w:rPr>
        <w:t xml:space="preserve"> and </w:t>
      </w:r>
      <w:proofErr w:type="spellStart"/>
      <w:r>
        <w:rPr>
          <w:rFonts w:cs="Avenir 55 Roman"/>
        </w:rPr>
        <w:t>Arifu</w:t>
      </w:r>
      <w:proofErr w:type="spellEnd"/>
      <w:r>
        <w:rPr>
          <w:rFonts w:cs="Avenir 55 Roman"/>
        </w:rPr>
        <w:t xml:space="preserve"> direct specific, timely information on agricultural production methods to farmers through their mobile phones. Moving beyond one-to-one communication, M-Farm is an Internet- and SMS-based service in Kenya that allows farmers to aggregate; it publishes wholesale price information on 42 crops and provides a platform for smallholders to collectively sell crops and buy inputs, thereby lowering costs and accessing new markets.</w:t>
      </w:r>
      <w:r>
        <w:rPr>
          <w:rStyle w:val="EndnoteReference"/>
          <w:rFonts w:cs="Avenir 55 Roman"/>
        </w:rPr>
        <w:endnoteReference w:id="8"/>
      </w:r>
      <w:r>
        <w:rPr>
          <w:rFonts w:cs="Avenir 55 Roman"/>
        </w:rPr>
        <w:t xml:space="preserve"> </w:t>
      </w:r>
    </w:p>
    <w:p w14:paraId="1AF0BC84" w14:textId="77777777" w:rsidR="00F96980" w:rsidRPr="00974197" w:rsidRDefault="00F96980" w:rsidP="00974197">
      <w:pPr>
        <w:autoSpaceDE w:val="0"/>
        <w:autoSpaceDN w:val="0"/>
        <w:adjustRightInd w:val="0"/>
        <w:spacing w:after="120" w:line="240" w:lineRule="auto"/>
        <w:jc w:val="both"/>
        <w:rPr>
          <w:rFonts w:cs="Avenir 55 Roman"/>
        </w:rPr>
      </w:pPr>
    </w:p>
    <w:p w14:paraId="58603820" w14:textId="77777777" w:rsidR="00AB7040" w:rsidRDefault="00334BA5">
      <w:pPr>
        <w:shd w:val="clear" w:color="auto" w:fill="B80000"/>
        <w:spacing w:after="120"/>
        <w:jc w:val="both"/>
        <w:rPr>
          <w:b/>
          <w:bCs/>
          <w:color w:val="FFFFFF"/>
        </w:rPr>
      </w:pPr>
      <w:r>
        <w:rPr>
          <w:b/>
          <w:bCs/>
          <w:color w:val="FFFFFF"/>
        </w:rPr>
        <w:lastRenderedPageBreak/>
        <w:t>Purpose of Engagement</w:t>
      </w:r>
      <w:r>
        <w:rPr>
          <w:b/>
          <w:bCs/>
          <w:color w:val="FFFFFF"/>
        </w:rPr>
        <w:tab/>
      </w:r>
      <w:r>
        <w:rPr>
          <w:b/>
          <w:bCs/>
          <w:color w:val="FFFFFF"/>
        </w:rPr>
        <w:tab/>
      </w:r>
      <w:r>
        <w:rPr>
          <w:b/>
          <w:bCs/>
          <w:color w:val="FFFFFF"/>
        </w:rPr>
        <w:tab/>
      </w:r>
      <w:r>
        <w:rPr>
          <w:b/>
          <w:bCs/>
          <w:color w:val="FFFFFF"/>
        </w:rPr>
        <w:tab/>
      </w:r>
      <w:r>
        <w:rPr>
          <w:b/>
          <w:bCs/>
          <w:color w:val="FFFFFF"/>
        </w:rPr>
        <w:tab/>
      </w:r>
      <w:r>
        <w:rPr>
          <w:b/>
          <w:bCs/>
          <w:color w:val="FFFFFF"/>
        </w:rPr>
        <w:tab/>
      </w:r>
      <w:r>
        <w:rPr>
          <w:b/>
          <w:bCs/>
          <w:color w:val="FFFFFF"/>
        </w:rPr>
        <w:tab/>
      </w:r>
      <w:r>
        <w:rPr>
          <w:b/>
          <w:bCs/>
          <w:color w:val="FFFFFF"/>
        </w:rPr>
        <w:tab/>
      </w:r>
      <w:r>
        <w:rPr>
          <w:b/>
          <w:bCs/>
          <w:color w:val="FFFFFF"/>
        </w:rPr>
        <w:tab/>
      </w:r>
    </w:p>
    <w:tbl>
      <w:tblPr>
        <w:tblStyle w:val="TableGrid"/>
        <w:tblW w:w="9355" w:type="dxa"/>
        <w:tblLook w:val="04A0" w:firstRow="1" w:lastRow="0" w:firstColumn="1" w:lastColumn="0" w:noHBand="0" w:noVBand="1"/>
      </w:tblPr>
      <w:tblGrid>
        <w:gridCol w:w="9355"/>
      </w:tblGrid>
      <w:tr w:rsidR="00AB7040" w14:paraId="38CB6B80" w14:textId="77777777">
        <w:tc>
          <w:tcPr>
            <w:tcW w:w="9355" w:type="dxa"/>
          </w:tcPr>
          <w:p w14:paraId="074447E8" w14:textId="7AB5BE18" w:rsidR="00F96980" w:rsidRDefault="00C528EC" w:rsidP="00C528EC">
            <w:pPr>
              <w:spacing w:after="0" w:line="240" w:lineRule="auto"/>
              <w:jc w:val="both"/>
              <w:rPr>
                <w:rFonts w:cs="Arial"/>
              </w:rPr>
            </w:pPr>
            <w:r>
              <w:rPr>
                <w:rFonts w:cs="Arial"/>
              </w:rPr>
              <w:t xml:space="preserve">The purpose is to identify a research consultant with strong M&amp;E </w:t>
            </w:r>
            <w:r w:rsidR="00F96980">
              <w:rPr>
                <w:rFonts w:cs="Arial"/>
              </w:rPr>
              <w:t xml:space="preserve">and writing </w:t>
            </w:r>
            <w:r>
              <w:rPr>
                <w:rFonts w:cs="Arial"/>
              </w:rPr>
              <w:t xml:space="preserve">experience to support the AgriFin program </w:t>
            </w:r>
            <w:r w:rsidR="00C22762">
              <w:rPr>
                <w:rFonts w:cs="Arial"/>
              </w:rPr>
              <w:t>in developing</w:t>
            </w:r>
            <w:r w:rsidR="00F96980">
              <w:rPr>
                <w:rFonts w:cs="Arial"/>
              </w:rPr>
              <w:t xml:space="preserve"> annual</w:t>
            </w:r>
            <w:r w:rsidR="00660187">
              <w:rPr>
                <w:rFonts w:cs="Arial"/>
              </w:rPr>
              <w:t xml:space="preserve"> technical</w:t>
            </w:r>
            <w:r w:rsidR="00F96980">
              <w:rPr>
                <w:rFonts w:cs="Arial"/>
              </w:rPr>
              <w:t xml:space="preserve"> </w:t>
            </w:r>
            <w:r w:rsidR="00660187">
              <w:rPr>
                <w:rFonts w:cs="Arial"/>
              </w:rPr>
              <w:t xml:space="preserve">learning documents informed by the technical engagements and projects implemented throughout the year. </w:t>
            </w:r>
          </w:p>
          <w:p w14:paraId="3E99BECB" w14:textId="566572E0" w:rsidR="00C528EC" w:rsidRDefault="00F96980" w:rsidP="00C528EC">
            <w:pPr>
              <w:spacing w:after="0" w:line="240" w:lineRule="auto"/>
              <w:jc w:val="both"/>
              <w:rPr>
                <w:rFonts w:cs="Arial"/>
              </w:rPr>
            </w:pPr>
            <w:r>
              <w:rPr>
                <w:rFonts w:cs="Arial"/>
              </w:rPr>
              <w:t xml:space="preserve">The learning case study will be based on the potato value chain project implemented in partnership with </w:t>
            </w:r>
            <w:proofErr w:type="spellStart"/>
            <w:r>
              <w:rPr>
                <w:rFonts w:cs="Arial"/>
              </w:rPr>
              <w:t>DigiFarm</w:t>
            </w:r>
            <w:proofErr w:type="spellEnd"/>
            <w:r w:rsidR="00C22762">
              <w:rPr>
                <w:rFonts w:cs="Arial"/>
              </w:rPr>
              <w:t>,</w:t>
            </w:r>
            <w:r>
              <w:rPr>
                <w:rFonts w:cs="Arial"/>
              </w:rPr>
              <w:t xml:space="preserve"> among other partners along the value chain. This will highlight key challenges, lessons</w:t>
            </w:r>
            <w:r w:rsidR="00660187">
              <w:rPr>
                <w:rFonts w:cs="Arial"/>
              </w:rPr>
              <w:t>,</w:t>
            </w:r>
            <w:r>
              <w:rPr>
                <w:rFonts w:cs="Arial"/>
              </w:rPr>
              <w:t xml:space="preserve"> and recommendations for reference during the implementation of a similar project, especially when it involves forging working partnerships with formal finance institutions.</w:t>
            </w:r>
          </w:p>
          <w:p w14:paraId="2D2767D9" w14:textId="3FD07FCB" w:rsidR="00660187" w:rsidRPr="00C27CAF" w:rsidRDefault="00660187" w:rsidP="00C528EC">
            <w:pPr>
              <w:spacing w:after="0" w:line="240" w:lineRule="auto"/>
              <w:jc w:val="both"/>
              <w:rPr>
                <w:rFonts w:cs="Arial"/>
              </w:rPr>
            </w:pPr>
            <w:r>
              <w:rPr>
                <w:rFonts w:cs="Arial"/>
              </w:rPr>
              <w:t xml:space="preserve">Also, the learning documents will be informed by the </w:t>
            </w:r>
            <w:r w:rsidR="00994586">
              <w:rPr>
                <w:rFonts w:cs="Arial"/>
              </w:rPr>
              <w:t>A</w:t>
            </w:r>
            <w:r>
              <w:rPr>
                <w:rFonts w:cs="Arial"/>
              </w:rPr>
              <w:t xml:space="preserve">nnual </w:t>
            </w:r>
            <w:r w:rsidR="00994586">
              <w:rPr>
                <w:rFonts w:cs="Arial"/>
              </w:rPr>
              <w:t>L</w:t>
            </w:r>
            <w:r>
              <w:rPr>
                <w:rFonts w:cs="Arial"/>
              </w:rPr>
              <w:t xml:space="preserve">earning </w:t>
            </w:r>
            <w:r w:rsidR="00994586">
              <w:rPr>
                <w:rFonts w:cs="Arial"/>
              </w:rPr>
              <w:t>E</w:t>
            </w:r>
            <w:r>
              <w:rPr>
                <w:rFonts w:cs="Arial"/>
              </w:rPr>
              <w:t>vent and other events attended by the AgriFin team, such as the Africa Food System.</w:t>
            </w:r>
          </w:p>
          <w:p w14:paraId="460E9733" w14:textId="7F6C26BC" w:rsidR="008F30A8" w:rsidRDefault="008F30A8" w:rsidP="00ED2EF8">
            <w:pPr>
              <w:spacing w:after="0" w:line="240" w:lineRule="auto"/>
              <w:jc w:val="both"/>
              <w:rPr>
                <w:rFonts w:cs="Arial"/>
              </w:rPr>
            </w:pPr>
          </w:p>
        </w:tc>
      </w:tr>
      <w:tr w:rsidR="00AB7040" w14:paraId="502A3738" w14:textId="77777777">
        <w:tc>
          <w:tcPr>
            <w:tcW w:w="9355" w:type="dxa"/>
          </w:tcPr>
          <w:p w14:paraId="6EE7DD85" w14:textId="77777777" w:rsidR="00AB7040" w:rsidRDefault="00AB7040">
            <w:pPr>
              <w:spacing w:after="0" w:line="240" w:lineRule="auto"/>
              <w:rPr>
                <w:rFonts w:ascii="Calibri" w:hAnsi="Calibri" w:cs="Arial"/>
              </w:rPr>
            </w:pPr>
          </w:p>
        </w:tc>
      </w:tr>
    </w:tbl>
    <w:p w14:paraId="7E953B94" w14:textId="77777777" w:rsidR="00AB7040" w:rsidRDefault="00334BA5">
      <w:pPr>
        <w:shd w:val="clear" w:color="auto" w:fill="B80000"/>
        <w:spacing w:after="120"/>
        <w:rPr>
          <w:rFonts w:ascii="Calibri" w:eastAsia="Calibri" w:hAnsi="Calibri" w:cs="Times New Roman"/>
          <w:b/>
          <w:bCs/>
          <w:color w:val="FFFFFF"/>
        </w:rPr>
      </w:pPr>
      <w:r>
        <w:rPr>
          <w:rFonts w:ascii="Calibri" w:eastAsia="Calibri" w:hAnsi="Calibri" w:cs="Times New Roman"/>
          <w:b/>
          <w:bCs/>
          <w:color w:val="FFFFFF"/>
        </w:rPr>
        <w:t>Scope of Work</w:t>
      </w:r>
    </w:p>
    <w:p w14:paraId="15A97EC2" w14:textId="13F6348A" w:rsidR="00C528EC" w:rsidRDefault="00C528EC" w:rsidP="00C528EC">
      <w:pPr>
        <w:spacing w:after="0" w:line="240" w:lineRule="auto"/>
        <w:jc w:val="both"/>
        <w:rPr>
          <w:rFonts w:eastAsia="Times New Roman" w:cstheme="minorHAnsi"/>
          <w:bCs/>
        </w:rPr>
      </w:pPr>
      <w:r>
        <w:rPr>
          <w:rFonts w:eastAsia="Times New Roman" w:cstheme="minorHAnsi"/>
          <w:bCs/>
        </w:rPr>
        <w:t xml:space="preserve">The specific support activities </w:t>
      </w:r>
      <w:r w:rsidR="00D37F8A">
        <w:rPr>
          <w:rFonts w:eastAsia="Times New Roman" w:cstheme="minorHAnsi"/>
          <w:bCs/>
        </w:rPr>
        <w:t>to be provided by the consultant will include</w:t>
      </w:r>
      <w:r>
        <w:rPr>
          <w:rFonts w:eastAsia="Times New Roman" w:cstheme="minorHAnsi"/>
          <w:bCs/>
        </w:rPr>
        <w:t xml:space="preserve">: </w:t>
      </w:r>
    </w:p>
    <w:p w14:paraId="2270A6B4" w14:textId="70FC3633" w:rsidR="00C528EC" w:rsidRPr="009D0A20" w:rsidRDefault="00F96980" w:rsidP="009D0A20">
      <w:pPr>
        <w:pStyle w:val="ListParagraph"/>
        <w:numPr>
          <w:ilvl w:val="0"/>
          <w:numId w:val="8"/>
        </w:numPr>
        <w:spacing w:after="0"/>
        <w:rPr>
          <w:rFonts w:eastAsia="SimSun" w:cstheme="minorHAnsi"/>
        </w:rPr>
      </w:pPr>
      <w:r>
        <w:rPr>
          <w:rFonts w:eastAsia="SimSun" w:cstheme="minorHAnsi"/>
        </w:rPr>
        <w:t xml:space="preserve">Development of </w:t>
      </w:r>
      <w:r w:rsidR="00660187">
        <w:rPr>
          <w:rFonts w:eastAsia="SimSun" w:cstheme="minorHAnsi"/>
        </w:rPr>
        <w:t>technical learnings</w:t>
      </w:r>
      <w:r>
        <w:rPr>
          <w:rFonts w:eastAsia="SimSun" w:cstheme="minorHAnsi"/>
        </w:rPr>
        <w:t>, based on the</w:t>
      </w:r>
      <w:r w:rsidR="00660187">
        <w:rPr>
          <w:rFonts w:eastAsia="SimSun" w:cstheme="minorHAnsi"/>
        </w:rPr>
        <w:t xml:space="preserve"> annual program technical engagements across the pillars and outcome areas. The learnings should be accompanied </w:t>
      </w:r>
      <w:proofErr w:type="gramStart"/>
      <w:r w:rsidR="00660187">
        <w:rPr>
          <w:rFonts w:eastAsia="SimSun" w:cstheme="minorHAnsi"/>
        </w:rPr>
        <w:t>by</w:t>
      </w:r>
      <w:r>
        <w:rPr>
          <w:rFonts w:eastAsia="SimSun" w:cstheme="minorHAnsi"/>
        </w:rPr>
        <w:t>;</w:t>
      </w:r>
      <w:proofErr w:type="gramEnd"/>
    </w:p>
    <w:p w14:paraId="3DEEEE4B" w14:textId="3872767E" w:rsidR="009D0A20" w:rsidRDefault="00F96980" w:rsidP="009D0A20">
      <w:pPr>
        <w:numPr>
          <w:ilvl w:val="0"/>
          <w:numId w:val="6"/>
        </w:numPr>
        <w:spacing w:after="0"/>
        <w:rPr>
          <w:rFonts w:eastAsia="SimSun" w:cstheme="minorHAnsi"/>
        </w:rPr>
      </w:pPr>
      <w:r>
        <w:rPr>
          <w:rFonts w:eastAsia="SimSun" w:cstheme="minorHAnsi"/>
        </w:rPr>
        <w:t>Achievement</w:t>
      </w:r>
      <w:r w:rsidR="00B8503F">
        <w:rPr>
          <w:rFonts w:eastAsia="SimSun" w:cstheme="minorHAnsi"/>
        </w:rPr>
        <w:t>s</w:t>
      </w:r>
      <w:r>
        <w:rPr>
          <w:rFonts w:eastAsia="SimSun" w:cstheme="minorHAnsi"/>
        </w:rPr>
        <w:t>, based on the program outcomes</w:t>
      </w:r>
    </w:p>
    <w:p w14:paraId="26CAF23C" w14:textId="70335927" w:rsidR="00F96980" w:rsidRDefault="00F96980" w:rsidP="009D0A20">
      <w:pPr>
        <w:numPr>
          <w:ilvl w:val="0"/>
          <w:numId w:val="6"/>
        </w:numPr>
        <w:spacing w:after="0"/>
        <w:rPr>
          <w:rFonts w:eastAsia="SimSun" w:cstheme="minorHAnsi"/>
        </w:rPr>
      </w:pPr>
      <w:r>
        <w:rPr>
          <w:rFonts w:eastAsia="SimSun" w:cstheme="minorHAnsi"/>
        </w:rPr>
        <w:t>Key challenges and how they were addressed</w:t>
      </w:r>
    </w:p>
    <w:p w14:paraId="5E6A70AB" w14:textId="40F94233" w:rsidR="00F96980" w:rsidRPr="009D0A20" w:rsidRDefault="00B8503F" w:rsidP="009D0A20">
      <w:pPr>
        <w:numPr>
          <w:ilvl w:val="0"/>
          <w:numId w:val="6"/>
        </w:numPr>
        <w:spacing w:after="0"/>
        <w:rPr>
          <w:rFonts w:eastAsia="SimSun" w:cstheme="minorHAnsi"/>
        </w:rPr>
      </w:pPr>
      <w:r>
        <w:rPr>
          <w:rFonts w:eastAsia="SimSun" w:cstheme="minorHAnsi"/>
        </w:rPr>
        <w:t>Recommendations for future reference</w:t>
      </w:r>
    </w:p>
    <w:p w14:paraId="50C4BA9C" w14:textId="35758D78" w:rsidR="009D0A20" w:rsidRDefault="00F96980" w:rsidP="009D0A20">
      <w:pPr>
        <w:pStyle w:val="ListParagraph"/>
        <w:numPr>
          <w:ilvl w:val="0"/>
          <w:numId w:val="8"/>
        </w:numPr>
        <w:spacing w:after="0"/>
        <w:rPr>
          <w:rFonts w:eastAsia="Times New Roman" w:cstheme="minorHAnsi"/>
          <w:bCs/>
        </w:rPr>
      </w:pPr>
      <w:r>
        <w:rPr>
          <w:rFonts w:eastAsia="Times New Roman" w:cstheme="minorHAnsi"/>
          <w:bCs/>
        </w:rPr>
        <w:t>Learning output on partnership with financial institutions</w:t>
      </w:r>
      <w:r w:rsidR="00660187">
        <w:rPr>
          <w:rFonts w:eastAsia="Times New Roman" w:cstheme="minorHAnsi"/>
          <w:bCs/>
        </w:rPr>
        <w:t xml:space="preserve"> on the potato value chains</w:t>
      </w:r>
      <w:r w:rsidR="00C22762">
        <w:rPr>
          <w:rFonts w:eastAsia="Times New Roman" w:cstheme="minorHAnsi"/>
          <w:bCs/>
        </w:rPr>
        <w:t xml:space="preserve">, </w:t>
      </w:r>
      <w:r w:rsidR="00660187">
        <w:rPr>
          <w:rFonts w:eastAsia="Times New Roman" w:cstheme="minorHAnsi"/>
          <w:bCs/>
        </w:rPr>
        <w:t xml:space="preserve">accompanied </w:t>
      </w:r>
      <w:proofErr w:type="gramStart"/>
      <w:r w:rsidR="00660187">
        <w:rPr>
          <w:rFonts w:eastAsia="Times New Roman" w:cstheme="minorHAnsi"/>
          <w:bCs/>
        </w:rPr>
        <w:t>by</w:t>
      </w:r>
      <w:r w:rsidR="00C22762">
        <w:rPr>
          <w:rFonts w:eastAsia="Times New Roman" w:cstheme="minorHAnsi"/>
          <w:bCs/>
        </w:rPr>
        <w:t>;</w:t>
      </w:r>
      <w:proofErr w:type="gramEnd"/>
    </w:p>
    <w:p w14:paraId="3475D7FC" w14:textId="58633ADC" w:rsidR="00B8503F" w:rsidRDefault="00C22762" w:rsidP="00B8503F">
      <w:pPr>
        <w:pStyle w:val="ListParagraph"/>
        <w:numPr>
          <w:ilvl w:val="0"/>
          <w:numId w:val="10"/>
        </w:numPr>
        <w:spacing w:after="0"/>
        <w:rPr>
          <w:rFonts w:eastAsia="Times New Roman" w:cstheme="minorHAnsi"/>
          <w:bCs/>
        </w:rPr>
      </w:pPr>
      <w:r>
        <w:rPr>
          <w:rFonts w:eastAsia="Times New Roman" w:cstheme="minorHAnsi"/>
          <w:bCs/>
        </w:rPr>
        <w:t>Key achievements</w:t>
      </w:r>
      <w:r w:rsidR="00660187">
        <w:rPr>
          <w:rFonts w:eastAsia="Times New Roman" w:cstheme="minorHAnsi"/>
          <w:bCs/>
        </w:rPr>
        <w:t>,</w:t>
      </w:r>
      <w:r>
        <w:rPr>
          <w:rFonts w:eastAsia="Times New Roman" w:cstheme="minorHAnsi"/>
          <w:bCs/>
        </w:rPr>
        <w:t xml:space="preserve"> challenges</w:t>
      </w:r>
      <w:r w:rsidR="00660187">
        <w:rPr>
          <w:rFonts w:eastAsia="Times New Roman" w:cstheme="minorHAnsi"/>
          <w:bCs/>
        </w:rPr>
        <w:t>, and how they were addressed</w:t>
      </w:r>
    </w:p>
    <w:p w14:paraId="31BC8016" w14:textId="31DF5C85" w:rsidR="00C22762" w:rsidRPr="00B8503F" w:rsidRDefault="00C22762" w:rsidP="00B8503F">
      <w:pPr>
        <w:pStyle w:val="ListParagraph"/>
        <w:numPr>
          <w:ilvl w:val="0"/>
          <w:numId w:val="10"/>
        </w:numPr>
        <w:spacing w:after="0"/>
        <w:rPr>
          <w:rFonts w:eastAsia="Times New Roman" w:cstheme="minorHAnsi"/>
          <w:bCs/>
        </w:rPr>
      </w:pPr>
      <w:r>
        <w:rPr>
          <w:rFonts w:eastAsia="Times New Roman" w:cstheme="minorHAnsi"/>
          <w:bCs/>
        </w:rPr>
        <w:t>Recommendations for future reference</w:t>
      </w:r>
    </w:p>
    <w:p w14:paraId="06DD6E58" w14:textId="77777777" w:rsidR="00F96980" w:rsidRDefault="00F96980" w:rsidP="00F96980">
      <w:pPr>
        <w:pStyle w:val="ListParagraph"/>
        <w:spacing w:after="0"/>
        <w:rPr>
          <w:rFonts w:eastAsia="Times New Roman" w:cstheme="minorHAnsi"/>
          <w:bCs/>
        </w:rPr>
      </w:pPr>
    </w:p>
    <w:p w14:paraId="1FCD3CEF" w14:textId="77777777" w:rsidR="00AB7040" w:rsidRDefault="00334BA5">
      <w:pPr>
        <w:shd w:val="clear" w:color="auto" w:fill="B80000"/>
        <w:spacing w:after="120"/>
        <w:rPr>
          <w:rFonts w:ascii="Calibri" w:eastAsia="Calibri" w:hAnsi="Calibri" w:cs="Times New Roman"/>
          <w:b/>
          <w:bCs/>
          <w:color w:val="FFFFFF"/>
        </w:rPr>
      </w:pPr>
      <w:r>
        <w:rPr>
          <w:rFonts w:ascii="Calibri" w:eastAsia="Calibri" w:hAnsi="Calibri" w:cs="Times New Roman"/>
          <w:b/>
          <w:bCs/>
          <w:color w:val="FFFFFF"/>
        </w:rPr>
        <w:t>Deliverables</w:t>
      </w:r>
    </w:p>
    <w:p w14:paraId="4D5B79D7" w14:textId="147D28DB" w:rsidR="00721BBD" w:rsidRDefault="007A3898" w:rsidP="00CD20CC">
      <w:pPr>
        <w:shd w:val="clear" w:color="auto" w:fill="FFFFFF"/>
        <w:spacing w:after="0" w:line="240" w:lineRule="auto"/>
        <w:jc w:val="both"/>
        <w:rPr>
          <w:rFonts w:ascii="Calibri" w:eastAsia="Times New Roman" w:hAnsi="Calibri" w:cs="Arial"/>
          <w:color w:val="222222"/>
          <w:lang w:val="en-GB" w:eastAsia="en-GB"/>
        </w:rPr>
      </w:pPr>
      <w:r>
        <w:rPr>
          <w:rFonts w:ascii="Calibri" w:eastAsia="Times New Roman" w:hAnsi="Calibri" w:cs="Arial"/>
          <w:color w:val="222222"/>
          <w:lang w:val="en-GB" w:eastAsia="en-GB"/>
        </w:rPr>
        <w:t xml:space="preserve">The consultant will provide the AgriFin program with the deliverables based on specific sub-agreements tied to detailed scopes of work for each tailored engagement to support program partners over the indicated duration. </w:t>
      </w:r>
      <w:r w:rsidR="00603E8E">
        <w:rPr>
          <w:rFonts w:ascii="Calibri" w:eastAsia="Times New Roman" w:hAnsi="Calibri" w:cs="Arial"/>
          <w:color w:val="222222"/>
          <w:lang w:val="en-GB" w:eastAsia="en-GB"/>
        </w:rPr>
        <w:t xml:space="preserve">The consultant will </w:t>
      </w:r>
      <w:r w:rsidR="00207BF1">
        <w:rPr>
          <w:rFonts w:ascii="Calibri" w:eastAsia="Times New Roman" w:hAnsi="Calibri" w:cs="Arial"/>
          <w:color w:val="222222"/>
          <w:lang w:val="en-GB" w:eastAsia="en-GB"/>
        </w:rPr>
        <w:t xml:space="preserve">submit the following </w:t>
      </w:r>
      <w:proofErr w:type="gramStart"/>
      <w:r w:rsidR="00207BF1">
        <w:rPr>
          <w:rFonts w:ascii="Calibri" w:eastAsia="Times New Roman" w:hAnsi="Calibri" w:cs="Arial"/>
          <w:color w:val="222222"/>
          <w:lang w:val="en-GB" w:eastAsia="en-GB"/>
        </w:rPr>
        <w:t>deliverables;</w:t>
      </w:r>
      <w:proofErr w:type="gramEnd"/>
    </w:p>
    <w:p w14:paraId="42A0E507" w14:textId="77777777" w:rsidR="006B1659" w:rsidRDefault="006B1659" w:rsidP="00CD20CC">
      <w:pPr>
        <w:shd w:val="clear" w:color="auto" w:fill="FFFFFF"/>
        <w:spacing w:after="0" w:line="240" w:lineRule="auto"/>
        <w:jc w:val="both"/>
        <w:rPr>
          <w:rFonts w:ascii="Calibri" w:eastAsia="Times New Roman" w:hAnsi="Calibri" w:cs="Arial"/>
          <w:color w:val="222222"/>
          <w:lang w:val="en-GB" w:eastAsia="en-GB"/>
        </w:rPr>
      </w:pPr>
    </w:p>
    <w:tbl>
      <w:tblPr>
        <w:tblStyle w:val="TableGrid"/>
        <w:tblW w:w="0" w:type="auto"/>
        <w:tblLook w:val="04A0" w:firstRow="1" w:lastRow="0" w:firstColumn="1" w:lastColumn="0" w:noHBand="0" w:noVBand="1"/>
      </w:tblPr>
      <w:tblGrid>
        <w:gridCol w:w="3116"/>
        <w:gridCol w:w="4169"/>
        <w:gridCol w:w="2065"/>
      </w:tblGrid>
      <w:tr w:rsidR="006B1659" w:rsidRPr="00603E8E" w14:paraId="7A97D1DF" w14:textId="77777777" w:rsidTr="00660187">
        <w:tc>
          <w:tcPr>
            <w:tcW w:w="3116" w:type="dxa"/>
          </w:tcPr>
          <w:p w14:paraId="086AC5B3" w14:textId="4DA4FE35" w:rsidR="006B1659" w:rsidRPr="00603E8E" w:rsidRDefault="006B1659" w:rsidP="00CD20CC">
            <w:pPr>
              <w:spacing w:after="0" w:line="240" w:lineRule="auto"/>
              <w:jc w:val="both"/>
              <w:rPr>
                <w:rFonts w:ascii="Calibri" w:eastAsia="Times New Roman" w:hAnsi="Calibri" w:cs="Arial"/>
                <w:b/>
                <w:bCs/>
                <w:color w:val="222222"/>
                <w:lang w:val="en-GB" w:eastAsia="en-GB"/>
              </w:rPr>
            </w:pPr>
            <w:r w:rsidRPr="00603E8E">
              <w:rPr>
                <w:rFonts w:ascii="Calibri" w:eastAsia="Times New Roman" w:hAnsi="Calibri" w:cs="Arial"/>
                <w:b/>
                <w:bCs/>
                <w:color w:val="222222"/>
                <w:lang w:val="en-GB" w:eastAsia="en-GB"/>
              </w:rPr>
              <w:t>Deliverable No.</w:t>
            </w:r>
          </w:p>
        </w:tc>
        <w:tc>
          <w:tcPr>
            <w:tcW w:w="4169" w:type="dxa"/>
          </w:tcPr>
          <w:p w14:paraId="032F2C43" w14:textId="0107BBAE" w:rsidR="006B1659" w:rsidRPr="00603E8E" w:rsidRDefault="006B1659" w:rsidP="00CD20CC">
            <w:pPr>
              <w:spacing w:after="0" w:line="240" w:lineRule="auto"/>
              <w:jc w:val="both"/>
              <w:rPr>
                <w:rFonts w:ascii="Calibri" w:eastAsia="Times New Roman" w:hAnsi="Calibri" w:cs="Arial"/>
                <w:b/>
                <w:bCs/>
                <w:color w:val="222222"/>
                <w:lang w:val="en-GB" w:eastAsia="en-GB"/>
              </w:rPr>
            </w:pPr>
            <w:r w:rsidRPr="00603E8E">
              <w:rPr>
                <w:rFonts w:ascii="Calibri" w:eastAsia="Times New Roman" w:hAnsi="Calibri" w:cs="Arial"/>
                <w:b/>
                <w:bCs/>
                <w:color w:val="222222"/>
                <w:lang w:val="en-GB" w:eastAsia="en-GB"/>
              </w:rPr>
              <w:t>Description</w:t>
            </w:r>
          </w:p>
        </w:tc>
        <w:tc>
          <w:tcPr>
            <w:tcW w:w="2065" w:type="dxa"/>
          </w:tcPr>
          <w:p w14:paraId="43C1BDB6" w14:textId="49A4F60C" w:rsidR="006B1659" w:rsidRPr="00603E8E" w:rsidRDefault="006B1659" w:rsidP="00CD20CC">
            <w:pPr>
              <w:spacing w:after="0" w:line="240" w:lineRule="auto"/>
              <w:jc w:val="both"/>
              <w:rPr>
                <w:rFonts w:ascii="Calibri" w:eastAsia="Times New Roman" w:hAnsi="Calibri" w:cs="Arial"/>
                <w:b/>
                <w:bCs/>
                <w:color w:val="222222"/>
                <w:lang w:val="en-GB" w:eastAsia="en-GB"/>
              </w:rPr>
            </w:pPr>
            <w:r w:rsidRPr="00603E8E">
              <w:rPr>
                <w:rFonts w:ascii="Calibri" w:eastAsia="Times New Roman" w:hAnsi="Calibri" w:cs="Arial"/>
                <w:b/>
                <w:bCs/>
                <w:color w:val="222222"/>
                <w:lang w:val="en-GB" w:eastAsia="en-GB"/>
              </w:rPr>
              <w:t>Due Date</w:t>
            </w:r>
          </w:p>
        </w:tc>
      </w:tr>
      <w:tr w:rsidR="006B1659" w14:paraId="62823CE0" w14:textId="77777777" w:rsidTr="00660187">
        <w:tc>
          <w:tcPr>
            <w:tcW w:w="3116" w:type="dxa"/>
          </w:tcPr>
          <w:p w14:paraId="2D5B584A" w14:textId="0EF3156C" w:rsidR="006B1659" w:rsidRPr="00570823" w:rsidRDefault="00B8503F" w:rsidP="00570823">
            <w:pPr>
              <w:pStyle w:val="ListParagraph"/>
              <w:numPr>
                <w:ilvl w:val="0"/>
                <w:numId w:val="5"/>
              </w:numPr>
              <w:spacing w:after="0" w:line="240" w:lineRule="auto"/>
              <w:jc w:val="both"/>
              <w:rPr>
                <w:rFonts w:ascii="Calibri" w:eastAsia="Times New Roman" w:hAnsi="Calibri" w:cs="Arial"/>
                <w:color w:val="222222"/>
                <w:lang w:val="en-GB" w:eastAsia="en-GB"/>
              </w:rPr>
            </w:pPr>
            <w:r>
              <w:rPr>
                <w:rFonts w:ascii="Calibri" w:eastAsia="Times New Roman" w:hAnsi="Calibri" w:cs="Arial"/>
                <w:color w:val="222222"/>
                <w:lang w:val="en-GB" w:eastAsia="en-GB"/>
              </w:rPr>
              <w:t>Learning output on financial institutions</w:t>
            </w:r>
            <w:r w:rsidR="00660187">
              <w:rPr>
                <w:rFonts w:ascii="Calibri" w:eastAsia="Times New Roman" w:hAnsi="Calibri" w:cs="Arial"/>
                <w:color w:val="222222"/>
                <w:lang w:val="en-GB" w:eastAsia="en-GB"/>
              </w:rPr>
              <w:t xml:space="preserve"> in the potato value chain, </w:t>
            </w:r>
            <w:r w:rsidR="00715871">
              <w:rPr>
                <w:rFonts w:ascii="Calibri" w:eastAsia="Times New Roman" w:hAnsi="Calibri" w:cs="Arial"/>
                <w:color w:val="222222"/>
                <w:lang w:val="en-GB" w:eastAsia="en-GB"/>
              </w:rPr>
              <w:t xml:space="preserve">accompanied by a </w:t>
            </w:r>
            <w:r w:rsidR="00660187">
              <w:rPr>
                <w:rFonts w:ascii="Calibri" w:eastAsia="Times New Roman" w:hAnsi="Calibri" w:cs="Arial"/>
                <w:color w:val="222222"/>
                <w:lang w:val="en-GB" w:eastAsia="en-GB"/>
              </w:rPr>
              <w:t>summary</w:t>
            </w:r>
            <w:r w:rsidR="00715871">
              <w:rPr>
                <w:rFonts w:ascii="Calibri" w:eastAsia="Times New Roman" w:hAnsi="Calibri" w:cs="Arial"/>
                <w:color w:val="222222"/>
                <w:lang w:val="en-GB" w:eastAsia="en-GB"/>
              </w:rPr>
              <w:t>.</w:t>
            </w:r>
          </w:p>
        </w:tc>
        <w:tc>
          <w:tcPr>
            <w:tcW w:w="4169" w:type="dxa"/>
          </w:tcPr>
          <w:p w14:paraId="2456E786" w14:textId="21BBFA6A" w:rsidR="00570823" w:rsidRDefault="00B8503F" w:rsidP="00CD20CC">
            <w:pPr>
              <w:spacing w:after="0" w:line="240" w:lineRule="auto"/>
              <w:jc w:val="both"/>
              <w:rPr>
                <w:rFonts w:ascii="Calibri" w:eastAsia="Times New Roman" w:hAnsi="Calibri" w:cs="Arial"/>
                <w:color w:val="222222"/>
                <w:lang w:val="en-GB" w:eastAsia="en-GB"/>
              </w:rPr>
            </w:pPr>
            <w:r>
              <w:rPr>
                <w:rFonts w:cs="Arial"/>
              </w:rPr>
              <w:t xml:space="preserve">The output will be based on the potato value chain project implemented in partnership with </w:t>
            </w:r>
            <w:proofErr w:type="spellStart"/>
            <w:r>
              <w:rPr>
                <w:rFonts w:cs="Arial"/>
              </w:rPr>
              <w:t>DigiFarm</w:t>
            </w:r>
            <w:proofErr w:type="spellEnd"/>
            <w:r>
              <w:rPr>
                <w:rFonts w:cs="Arial"/>
              </w:rPr>
              <w:t>, among other partner</w:t>
            </w:r>
            <w:r w:rsidR="00660187">
              <w:rPr>
                <w:rFonts w:cs="Arial"/>
              </w:rPr>
              <w:t>s</w:t>
            </w:r>
            <w:r>
              <w:rPr>
                <w:rFonts w:cs="Arial"/>
              </w:rPr>
              <w:t xml:space="preserve">. It will highlight key </w:t>
            </w:r>
            <w:r w:rsidR="00715871">
              <w:rPr>
                <w:rFonts w:cs="Arial"/>
              </w:rPr>
              <w:t xml:space="preserve">achievements, </w:t>
            </w:r>
            <w:r>
              <w:rPr>
                <w:rFonts w:cs="Arial"/>
              </w:rPr>
              <w:t>challenges, lessons, and recommendations.</w:t>
            </w:r>
          </w:p>
        </w:tc>
        <w:tc>
          <w:tcPr>
            <w:tcW w:w="2065" w:type="dxa"/>
          </w:tcPr>
          <w:p w14:paraId="34FCD4F3" w14:textId="00BB5F02" w:rsidR="006B1659" w:rsidRDefault="00916D7D" w:rsidP="00CD20CC">
            <w:pPr>
              <w:spacing w:after="0" w:line="240" w:lineRule="auto"/>
              <w:jc w:val="both"/>
              <w:rPr>
                <w:rFonts w:ascii="Calibri" w:eastAsia="Times New Roman" w:hAnsi="Calibri" w:cs="Arial"/>
                <w:color w:val="222222"/>
                <w:lang w:val="en-GB" w:eastAsia="en-GB"/>
              </w:rPr>
            </w:pPr>
            <w:r>
              <w:rPr>
                <w:rFonts w:ascii="Calibri" w:eastAsia="Times New Roman" w:hAnsi="Calibri" w:cs="Arial"/>
                <w:color w:val="222222"/>
                <w:lang w:val="en-GB" w:eastAsia="en-GB"/>
              </w:rPr>
              <w:t>30</w:t>
            </w:r>
            <w:r w:rsidRPr="00916D7D">
              <w:rPr>
                <w:rFonts w:ascii="Calibri" w:eastAsia="Times New Roman" w:hAnsi="Calibri" w:cs="Arial"/>
                <w:color w:val="222222"/>
                <w:vertAlign w:val="superscript"/>
                <w:lang w:val="en-GB" w:eastAsia="en-GB"/>
              </w:rPr>
              <w:t>th</w:t>
            </w:r>
            <w:r>
              <w:rPr>
                <w:rFonts w:ascii="Calibri" w:eastAsia="Times New Roman" w:hAnsi="Calibri" w:cs="Arial"/>
                <w:color w:val="222222"/>
                <w:lang w:val="en-GB" w:eastAsia="en-GB"/>
              </w:rPr>
              <w:t xml:space="preserve"> </w:t>
            </w:r>
            <w:r w:rsidR="00B8503F">
              <w:rPr>
                <w:rFonts w:ascii="Calibri" w:eastAsia="Times New Roman" w:hAnsi="Calibri" w:cs="Arial"/>
                <w:color w:val="222222"/>
                <w:lang w:val="en-GB" w:eastAsia="en-GB"/>
              </w:rPr>
              <w:t>November 2025</w:t>
            </w:r>
          </w:p>
        </w:tc>
      </w:tr>
      <w:tr w:rsidR="006B1659" w14:paraId="78370FD6" w14:textId="77777777" w:rsidTr="00660187">
        <w:tc>
          <w:tcPr>
            <w:tcW w:w="3116" w:type="dxa"/>
          </w:tcPr>
          <w:p w14:paraId="39664BF8" w14:textId="4BC6FFE3" w:rsidR="006B1659" w:rsidRPr="00570823" w:rsidRDefault="009D0A20" w:rsidP="00570823">
            <w:pPr>
              <w:pStyle w:val="ListParagraph"/>
              <w:numPr>
                <w:ilvl w:val="0"/>
                <w:numId w:val="5"/>
              </w:numPr>
              <w:spacing w:after="0" w:line="240" w:lineRule="auto"/>
              <w:jc w:val="both"/>
              <w:rPr>
                <w:rFonts w:ascii="Calibri" w:eastAsia="Times New Roman" w:hAnsi="Calibri" w:cs="Arial"/>
                <w:color w:val="222222"/>
                <w:lang w:val="en-GB" w:eastAsia="en-GB"/>
              </w:rPr>
            </w:pPr>
            <w:r>
              <w:rPr>
                <w:rFonts w:ascii="Calibri" w:eastAsia="Times New Roman" w:hAnsi="Calibri" w:cs="Arial"/>
                <w:color w:val="222222"/>
                <w:lang w:val="en-GB" w:eastAsia="en-GB"/>
              </w:rPr>
              <w:t xml:space="preserve">Development of </w:t>
            </w:r>
            <w:r w:rsidR="00660187">
              <w:rPr>
                <w:rFonts w:ascii="Calibri" w:eastAsia="Times New Roman" w:hAnsi="Calibri" w:cs="Arial"/>
                <w:color w:val="222222"/>
                <w:lang w:val="en-GB" w:eastAsia="en-GB"/>
              </w:rPr>
              <w:t>an annual technical learning document</w:t>
            </w:r>
          </w:p>
        </w:tc>
        <w:tc>
          <w:tcPr>
            <w:tcW w:w="4169" w:type="dxa"/>
          </w:tcPr>
          <w:p w14:paraId="69859881" w14:textId="1439E6FA" w:rsidR="00B721A1" w:rsidRDefault="009D0A20" w:rsidP="00CD20CC">
            <w:pPr>
              <w:spacing w:after="0" w:line="240" w:lineRule="auto"/>
              <w:jc w:val="both"/>
              <w:rPr>
                <w:rFonts w:ascii="Calibri" w:eastAsia="Times New Roman" w:hAnsi="Calibri" w:cs="Arial"/>
                <w:color w:val="222222"/>
                <w:lang w:val="en-GB" w:eastAsia="en-GB"/>
              </w:rPr>
            </w:pPr>
            <w:r>
              <w:rPr>
                <w:rFonts w:ascii="Calibri" w:eastAsia="Times New Roman" w:hAnsi="Calibri" w:cs="Arial"/>
                <w:color w:val="222222"/>
                <w:lang w:val="en-GB" w:eastAsia="en-GB"/>
              </w:rPr>
              <w:t xml:space="preserve">Work with the MEL team to develop </w:t>
            </w:r>
            <w:r w:rsidR="00660187">
              <w:rPr>
                <w:rFonts w:ascii="Calibri" w:eastAsia="Times New Roman" w:hAnsi="Calibri" w:cs="Arial"/>
                <w:color w:val="222222"/>
                <w:lang w:val="en-GB" w:eastAsia="en-GB"/>
              </w:rPr>
              <w:t>an annual technical learning document</w:t>
            </w:r>
            <w:r>
              <w:rPr>
                <w:rFonts w:ascii="Calibri" w:eastAsia="Times New Roman" w:hAnsi="Calibri" w:cs="Arial"/>
                <w:color w:val="222222"/>
                <w:lang w:val="en-GB" w:eastAsia="en-GB"/>
              </w:rPr>
              <w:t xml:space="preserve"> </w:t>
            </w:r>
            <w:r w:rsidR="00660187">
              <w:rPr>
                <w:rFonts w:ascii="Calibri" w:eastAsia="Times New Roman" w:hAnsi="Calibri" w:cs="Arial"/>
                <w:color w:val="222222"/>
                <w:lang w:val="en-GB" w:eastAsia="en-GB"/>
              </w:rPr>
              <w:t>based on the program engagements, thematic areas/pillars, and outcomes. The document should be accompanied by a summary for ease in sharing and developed in line with the required t</w:t>
            </w:r>
            <w:r>
              <w:rPr>
                <w:rFonts w:ascii="Calibri" w:eastAsia="Times New Roman" w:hAnsi="Calibri" w:cs="Arial"/>
                <w:color w:val="222222"/>
                <w:lang w:val="en-GB" w:eastAsia="en-GB"/>
              </w:rPr>
              <w:t>emplates</w:t>
            </w:r>
            <w:r w:rsidR="00660187">
              <w:rPr>
                <w:rFonts w:ascii="Calibri" w:eastAsia="Times New Roman" w:hAnsi="Calibri" w:cs="Arial"/>
                <w:color w:val="222222"/>
                <w:lang w:val="en-GB" w:eastAsia="en-GB"/>
              </w:rPr>
              <w:t>.</w:t>
            </w:r>
          </w:p>
          <w:p w14:paraId="247D46D5" w14:textId="1B2956FB" w:rsidR="00570823" w:rsidRDefault="00570823" w:rsidP="00CD20CC">
            <w:pPr>
              <w:spacing w:after="0" w:line="240" w:lineRule="auto"/>
              <w:jc w:val="both"/>
              <w:rPr>
                <w:rFonts w:ascii="Calibri" w:eastAsia="Times New Roman" w:hAnsi="Calibri" w:cs="Arial"/>
                <w:color w:val="222222"/>
                <w:lang w:val="en-GB" w:eastAsia="en-GB"/>
              </w:rPr>
            </w:pPr>
          </w:p>
        </w:tc>
        <w:tc>
          <w:tcPr>
            <w:tcW w:w="2065" w:type="dxa"/>
          </w:tcPr>
          <w:p w14:paraId="751315C5" w14:textId="070AD34D" w:rsidR="006B1659" w:rsidRDefault="00B8503F" w:rsidP="00CD20CC">
            <w:pPr>
              <w:spacing w:after="0" w:line="240" w:lineRule="auto"/>
              <w:jc w:val="both"/>
              <w:rPr>
                <w:rFonts w:ascii="Calibri" w:eastAsia="Times New Roman" w:hAnsi="Calibri" w:cs="Arial"/>
                <w:color w:val="222222"/>
                <w:lang w:val="en-GB" w:eastAsia="en-GB"/>
              </w:rPr>
            </w:pPr>
            <w:r>
              <w:rPr>
                <w:rFonts w:ascii="Calibri" w:eastAsia="Times New Roman" w:hAnsi="Calibri" w:cs="Arial"/>
                <w:color w:val="222222"/>
                <w:lang w:val="en-GB" w:eastAsia="en-GB"/>
              </w:rPr>
              <w:t>1</w:t>
            </w:r>
            <w:r w:rsidR="00C22762">
              <w:rPr>
                <w:rFonts w:ascii="Calibri" w:eastAsia="Times New Roman" w:hAnsi="Calibri" w:cs="Arial"/>
                <w:color w:val="222222"/>
                <w:lang w:val="en-GB" w:eastAsia="en-GB"/>
              </w:rPr>
              <w:t>3</w:t>
            </w:r>
            <w:r w:rsidRPr="00B8503F">
              <w:rPr>
                <w:rFonts w:ascii="Calibri" w:eastAsia="Times New Roman" w:hAnsi="Calibri" w:cs="Arial"/>
                <w:color w:val="222222"/>
                <w:vertAlign w:val="superscript"/>
                <w:lang w:val="en-GB" w:eastAsia="en-GB"/>
              </w:rPr>
              <w:t>th</w:t>
            </w:r>
            <w:r>
              <w:rPr>
                <w:rFonts w:ascii="Calibri" w:eastAsia="Times New Roman" w:hAnsi="Calibri" w:cs="Arial"/>
                <w:color w:val="222222"/>
                <w:lang w:val="en-GB" w:eastAsia="en-GB"/>
              </w:rPr>
              <w:t xml:space="preserve"> December </w:t>
            </w:r>
            <w:r w:rsidR="00916D7D">
              <w:rPr>
                <w:rFonts w:ascii="Calibri" w:eastAsia="Times New Roman" w:hAnsi="Calibri" w:cs="Arial"/>
                <w:color w:val="222222"/>
                <w:lang w:val="en-GB" w:eastAsia="en-GB"/>
              </w:rPr>
              <w:t>202</w:t>
            </w:r>
            <w:r>
              <w:rPr>
                <w:rFonts w:ascii="Calibri" w:eastAsia="Times New Roman" w:hAnsi="Calibri" w:cs="Arial"/>
                <w:color w:val="222222"/>
                <w:lang w:val="en-GB" w:eastAsia="en-GB"/>
              </w:rPr>
              <w:t>5</w:t>
            </w:r>
          </w:p>
        </w:tc>
      </w:tr>
    </w:tbl>
    <w:p w14:paraId="4D7E0E45" w14:textId="77777777" w:rsidR="00B8503F" w:rsidRDefault="00B8503F">
      <w:pPr>
        <w:shd w:val="clear" w:color="auto" w:fill="FFFFFF"/>
        <w:spacing w:after="120" w:line="240" w:lineRule="auto"/>
        <w:jc w:val="both"/>
      </w:pPr>
    </w:p>
    <w:p w14:paraId="1568FE3C" w14:textId="77777777" w:rsidR="00AB7040" w:rsidRDefault="00334BA5">
      <w:pPr>
        <w:shd w:val="clear" w:color="auto" w:fill="B80000"/>
        <w:spacing w:after="120"/>
        <w:jc w:val="both"/>
        <w:rPr>
          <w:b/>
          <w:bCs/>
          <w:color w:val="FFFFFF"/>
        </w:rPr>
      </w:pPr>
      <w:r>
        <w:rPr>
          <w:b/>
          <w:bCs/>
          <w:color w:val="FFFFFF"/>
        </w:rPr>
        <w:t>Project Learning Agenda</w:t>
      </w:r>
      <w:r>
        <w:rPr>
          <w:b/>
          <w:bCs/>
          <w:color w:val="FFFFFF"/>
        </w:rPr>
        <w:tab/>
      </w:r>
      <w:r>
        <w:rPr>
          <w:b/>
          <w:bCs/>
          <w:color w:val="FFFFFF"/>
        </w:rPr>
        <w:tab/>
      </w:r>
      <w:r>
        <w:rPr>
          <w:b/>
          <w:bCs/>
          <w:color w:val="FFFFFF"/>
        </w:rPr>
        <w:tab/>
      </w:r>
      <w:r>
        <w:rPr>
          <w:b/>
          <w:bCs/>
          <w:color w:val="FFFFFF"/>
        </w:rPr>
        <w:tab/>
      </w:r>
      <w:r>
        <w:rPr>
          <w:b/>
          <w:bCs/>
          <w:color w:val="FFFFFF"/>
        </w:rPr>
        <w:tab/>
      </w:r>
    </w:p>
    <w:p w14:paraId="77EDFEFD" w14:textId="4B21D048" w:rsidR="00AB7040" w:rsidRDefault="00334BA5" w:rsidP="00721BBD">
      <w:pPr>
        <w:spacing w:after="0" w:line="240" w:lineRule="auto"/>
        <w:jc w:val="both"/>
        <w:rPr>
          <w:iCs/>
        </w:rPr>
      </w:pPr>
      <w:r>
        <w:t xml:space="preserve">To achieve its objectives </w:t>
      </w:r>
      <w:r w:rsidR="007A3898">
        <w:t>of expanding</w:t>
      </w:r>
      <w:r>
        <w:t xml:space="preserve"> services to one million smallholder farmers </w:t>
      </w:r>
      <w:r w:rsidR="007A3898">
        <w:t xml:space="preserve">and </w:t>
      </w:r>
      <w:r>
        <w:t>increasing farmer incomes and productivity, the activities implemented under this SOW will be linked to the learning questions</w:t>
      </w:r>
      <w:r w:rsidR="00B8503F">
        <w:t xml:space="preserve"> under the three program outcome levels of </w:t>
      </w:r>
      <w:proofErr w:type="spellStart"/>
      <w:r w:rsidR="00B8503F">
        <w:t>i</w:t>
      </w:r>
      <w:proofErr w:type="spellEnd"/>
      <w:r w:rsidR="00B8503F">
        <w:t xml:space="preserve">) Smallholder farmers, ii) Partners, and </w:t>
      </w:r>
      <w:r w:rsidR="00C22762">
        <w:t>iii</w:t>
      </w:r>
      <w:r w:rsidR="00B8503F">
        <w:t>) Public learning.</w:t>
      </w:r>
    </w:p>
    <w:p w14:paraId="39FF0157" w14:textId="77777777" w:rsidR="00AB7040" w:rsidRDefault="00AB7040">
      <w:pPr>
        <w:pStyle w:val="NoSpacing"/>
        <w:spacing w:after="120"/>
        <w:jc w:val="both"/>
      </w:pPr>
    </w:p>
    <w:p w14:paraId="06E344F2" w14:textId="77777777" w:rsidR="00AB7040" w:rsidRDefault="00334BA5">
      <w:pPr>
        <w:shd w:val="clear" w:color="auto" w:fill="B80000"/>
        <w:spacing w:after="120"/>
        <w:jc w:val="both"/>
        <w:rPr>
          <w:b/>
          <w:bCs/>
          <w:color w:val="FFFFFF"/>
        </w:rPr>
      </w:pPr>
      <w:r>
        <w:rPr>
          <w:b/>
          <w:bCs/>
          <w:color w:val="FFFFFF"/>
          <w:shd w:val="clear" w:color="auto" w:fill="B80000"/>
        </w:rPr>
        <w:t>Budget</w:t>
      </w:r>
      <w:r>
        <w:rPr>
          <w:b/>
          <w:bCs/>
          <w:color w:val="FFFFFF"/>
          <w:shd w:val="clear" w:color="auto" w:fill="B80000"/>
        </w:rPr>
        <w:tab/>
        <w:t>and Terms of Payment</w:t>
      </w:r>
      <w:r>
        <w:rPr>
          <w:b/>
          <w:bCs/>
          <w:color w:val="FFFFFF"/>
          <w:shd w:val="clear" w:color="auto" w:fill="B80000"/>
        </w:rPr>
        <w:tab/>
      </w:r>
      <w:r>
        <w:rPr>
          <w:b/>
          <w:bCs/>
          <w:color w:val="FFFFFF"/>
          <w:shd w:val="clear" w:color="auto" w:fill="B80000"/>
        </w:rPr>
        <w:tab/>
      </w:r>
      <w:r>
        <w:rPr>
          <w:b/>
          <w:bCs/>
          <w:color w:val="FFFFFF"/>
          <w:shd w:val="clear" w:color="auto" w:fill="B80000"/>
        </w:rPr>
        <w:tab/>
      </w:r>
      <w:r>
        <w:rPr>
          <w:b/>
          <w:bCs/>
          <w:color w:val="FFFFFF"/>
          <w:shd w:val="clear" w:color="auto" w:fill="B80000"/>
        </w:rPr>
        <w:tab/>
      </w:r>
      <w:r>
        <w:rPr>
          <w:b/>
          <w:bCs/>
          <w:color w:val="FFFFFF"/>
          <w:shd w:val="clear" w:color="auto" w:fill="B80000"/>
        </w:rPr>
        <w:tab/>
      </w:r>
      <w:r>
        <w:rPr>
          <w:b/>
          <w:bCs/>
          <w:color w:val="FFFFFF"/>
          <w:shd w:val="clear" w:color="auto" w:fill="B80000"/>
        </w:rPr>
        <w:tab/>
      </w:r>
      <w:r>
        <w:rPr>
          <w:b/>
          <w:bCs/>
          <w:color w:val="FFFFFF"/>
          <w:shd w:val="clear" w:color="auto" w:fill="B80000"/>
        </w:rPr>
        <w:tab/>
      </w:r>
      <w:r>
        <w:rPr>
          <w:b/>
          <w:bCs/>
          <w:color w:val="FFFFFF"/>
          <w:shd w:val="clear" w:color="auto" w:fill="B80000"/>
        </w:rPr>
        <w:tab/>
      </w:r>
      <w:r>
        <w:rPr>
          <w:b/>
          <w:bCs/>
          <w:color w:val="FFFFFF"/>
          <w:shd w:val="clear" w:color="auto" w:fill="B80000"/>
        </w:rPr>
        <w:tab/>
      </w:r>
      <w:r>
        <w:rPr>
          <w:b/>
          <w:bCs/>
          <w:color w:val="FFFFFF"/>
          <w:shd w:val="clear" w:color="auto" w:fill="B80000"/>
        </w:rPr>
        <w:tab/>
      </w:r>
    </w:p>
    <w:p w14:paraId="57D89F53" w14:textId="24718DE6" w:rsidR="00AB7040" w:rsidRDefault="00334BA5">
      <w:pPr>
        <w:jc w:val="both"/>
        <w:rPr>
          <w:rFonts w:cs="Arial"/>
        </w:rPr>
      </w:pPr>
      <w:r>
        <w:rPr>
          <w:rFonts w:cs="Arial"/>
        </w:rPr>
        <w:t xml:space="preserve">The budget commitment from </w:t>
      </w:r>
      <w:r w:rsidR="007A3898">
        <w:rPr>
          <w:rFonts w:cs="Arial"/>
        </w:rPr>
        <w:t>the AgriFin Program</w:t>
      </w:r>
      <w:r>
        <w:rPr>
          <w:rFonts w:cs="Arial"/>
        </w:rPr>
        <w:t xml:space="preserve"> to the indicated services and work will be determined </w:t>
      </w:r>
      <w:r w:rsidR="007A3898">
        <w:rPr>
          <w:rFonts w:cs="Arial"/>
        </w:rPr>
        <w:t>by</w:t>
      </w:r>
      <w:r>
        <w:rPr>
          <w:rFonts w:cs="Arial"/>
        </w:rPr>
        <w:t xml:space="preserve"> </w:t>
      </w:r>
      <w:r w:rsidR="007A3898">
        <w:rPr>
          <w:rFonts w:cs="Arial"/>
        </w:rPr>
        <w:t xml:space="preserve">the </w:t>
      </w:r>
      <w:r>
        <w:rPr>
          <w:rFonts w:cs="Arial"/>
        </w:rPr>
        <w:t xml:space="preserve">contractor.  </w:t>
      </w:r>
      <w:r>
        <w:rPr>
          <w:rFonts w:eastAsia="Times New Roman"/>
        </w:rPr>
        <w:t>P</w:t>
      </w:r>
      <w:r>
        <w:rPr>
          <w:rFonts w:cs="Arial"/>
        </w:rPr>
        <w:t xml:space="preserve">ayment will be approved upon the </w:t>
      </w:r>
      <w:r w:rsidR="00B8503F">
        <w:rPr>
          <w:rFonts w:cs="Arial"/>
        </w:rPr>
        <w:t>receipt</w:t>
      </w:r>
      <w:r>
        <w:rPr>
          <w:rFonts w:cs="Arial"/>
        </w:rPr>
        <w:t xml:space="preserve"> and acceptance of final deliverables as per each sub-agreement.</w:t>
      </w:r>
    </w:p>
    <w:p w14:paraId="2C6521D3" w14:textId="77777777" w:rsidR="00AB7040" w:rsidRDefault="00334BA5">
      <w:pPr>
        <w:shd w:val="clear" w:color="auto" w:fill="B80000"/>
        <w:spacing w:after="120"/>
        <w:jc w:val="both"/>
        <w:rPr>
          <w:rFonts w:ascii="Calibri" w:eastAsia="SimSun" w:hAnsi="Calibri" w:cs="Times New Roman"/>
          <w:b/>
          <w:bCs/>
          <w:color w:val="FFFFFF"/>
        </w:rPr>
      </w:pPr>
      <w:r>
        <w:rPr>
          <w:rFonts w:ascii="Calibri" w:eastAsia="SimSun" w:hAnsi="Calibri" w:cs="Times New Roman"/>
          <w:b/>
          <w:bCs/>
          <w:color w:val="FFFFFF"/>
        </w:rPr>
        <w:t>Necessary Skills and Experience</w:t>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p>
    <w:p w14:paraId="1E242C25" w14:textId="24B910FD" w:rsidR="00AB7040" w:rsidRPr="00F31407" w:rsidRDefault="00334BA5" w:rsidP="008D4EE5">
      <w:pPr>
        <w:pStyle w:val="ListParagraph"/>
        <w:numPr>
          <w:ilvl w:val="0"/>
          <w:numId w:val="3"/>
        </w:numPr>
        <w:rPr>
          <w:rFonts w:cstheme="minorHAnsi"/>
        </w:rPr>
      </w:pPr>
      <w:r>
        <w:rPr>
          <w:rFonts w:eastAsia="Arial" w:cstheme="minorHAnsi"/>
        </w:rPr>
        <w:t xml:space="preserve">Extensive experience in </w:t>
      </w:r>
      <w:r w:rsidR="008D4EE5">
        <w:rPr>
          <w:rFonts w:eastAsia="Arial" w:cstheme="minorHAnsi"/>
        </w:rPr>
        <w:t xml:space="preserve">the implementation of quantitative research in </w:t>
      </w:r>
      <w:r w:rsidR="008D4EE5">
        <w:rPr>
          <w:rFonts w:cstheme="minorHAnsi"/>
        </w:rPr>
        <w:t xml:space="preserve">agriculture, technology, gender, digital financial services, and other relevant topics, </w:t>
      </w:r>
      <w:r w:rsidRPr="008D4EE5">
        <w:rPr>
          <w:rFonts w:eastAsia="Arial" w:cstheme="minorHAnsi"/>
        </w:rPr>
        <w:t>ideally in Kenya, Uganda, Ethiopia, Tanzania</w:t>
      </w:r>
      <w:r w:rsidR="00B87873">
        <w:rPr>
          <w:rFonts w:eastAsia="Arial" w:cstheme="minorHAnsi"/>
        </w:rPr>
        <w:t>,</w:t>
      </w:r>
      <w:r w:rsidRPr="008D4EE5">
        <w:rPr>
          <w:rFonts w:eastAsia="Arial" w:cstheme="minorHAnsi"/>
        </w:rPr>
        <w:t xml:space="preserve"> and Nigeria</w:t>
      </w:r>
    </w:p>
    <w:p w14:paraId="36A0B246" w14:textId="2EC51905" w:rsidR="00F31407" w:rsidRPr="00F31407" w:rsidRDefault="00F31407" w:rsidP="00F31407">
      <w:pPr>
        <w:pStyle w:val="ListParagraph"/>
        <w:numPr>
          <w:ilvl w:val="0"/>
          <w:numId w:val="3"/>
        </w:numPr>
        <w:spacing w:after="0"/>
        <w:jc w:val="both"/>
        <w:rPr>
          <w:rFonts w:eastAsia="Arial" w:cstheme="minorHAnsi"/>
        </w:rPr>
      </w:pPr>
      <w:r>
        <w:rPr>
          <w:rFonts w:eastAsia="Arial" w:cstheme="minorHAnsi"/>
        </w:rPr>
        <w:t xml:space="preserve">Strong capacity-building skills in M&amp;E aspects in digital agriculture and writing skills and transfer of knowledge to technical teams and farmer-facing organizations. </w:t>
      </w:r>
    </w:p>
    <w:p w14:paraId="5D4268DD" w14:textId="1882712C" w:rsidR="00AB7040" w:rsidRDefault="00334BA5">
      <w:pPr>
        <w:pStyle w:val="ListParagraph"/>
        <w:numPr>
          <w:ilvl w:val="0"/>
          <w:numId w:val="3"/>
        </w:numPr>
        <w:spacing w:after="0"/>
        <w:jc w:val="both"/>
        <w:rPr>
          <w:rFonts w:eastAsia="Arial" w:cstheme="minorHAnsi"/>
        </w:rPr>
      </w:pPr>
      <w:r>
        <w:rPr>
          <w:rFonts w:eastAsia="Arial" w:cstheme="minorHAnsi"/>
        </w:rPr>
        <w:t xml:space="preserve">Ability to translate evidence and research insights into </w:t>
      </w:r>
      <w:r w:rsidR="00B87873">
        <w:rPr>
          <w:rFonts w:eastAsia="Arial" w:cstheme="minorHAnsi"/>
        </w:rPr>
        <w:t>high-quality strateg</w:t>
      </w:r>
      <w:r w:rsidR="001C417D">
        <w:rPr>
          <w:rFonts w:eastAsia="Arial" w:cstheme="minorHAnsi"/>
        </w:rPr>
        <w:t>ic and</w:t>
      </w:r>
      <w:r w:rsidR="00B87873">
        <w:rPr>
          <w:rFonts w:eastAsia="Arial" w:cstheme="minorHAnsi"/>
        </w:rPr>
        <w:t xml:space="preserve"> </w:t>
      </w:r>
      <w:r>
        <w:rPr>
          <w:rFonts w:eastAsia="Arial" w:cstheme="minorHAnsi"/>
        </w:rPr>
        <w:t xml:space="preserve">actionable </w:t>
      </w:r>
      <w:r w:rsidR="001C417D">
        <w:rPr>
          <w:rFonts w:eastAsia="Arial" w:cstheme="minorHAnsi"/>
        </w:rPr>
        <w:t>r</w:t>
      </w:r>
      <w:r>
        <w:rPr>
          <w:rFonts w:eastAsia="Arial" w:cstheme="minorHAnsi"/>
        </w:rPr>
        <w:t xml:space="preserve">ecommendations for </w:t>
      </w:r>
      <w:r w:rsidR="0016244D">
        <w:rPr>
          <w:rFonts w:eastAsia="Arial" w:cstheme="minorHAnsi"/>
        </w:rPr>
        <w:t>AgriFin and its partners.</w:t>
      </w:r>
    </w:p>
    <w:p w14:paraId="63D2F0E2" w14:textId="5D1FD9B1" w:rsidR="00B87873" w:rsidRPr="001C417D" w:rsidRDefault="00B87873" w:rsidP="001C417D">
      <w:pPr>
        <w:pStyle w:val="ListParagraph"/>
        <w:numPr>
          <w:ilvl w:val="0"/>
          <w:numId w:val="3"/>
        </w:numPr>
        <w:rPr>
          <w:rFonts w:cstheme="minorHAnsi"/>
        </w:rPr>
      </w:pPr>
      <w:r w:rsidRPr="003F3B8A">
        <w:rPr>
          <w:rFonts w:cstheme="minorHAnsi"/>
        </w:rPr>
        <w:t xml:space="preserve">Demonstrated ability to develop </w:t>
      </w:r>
      <w:r>
        <w:rPr>
          <w:rFonts w:cstheme="minorHAnsi"/>
        </w:rPr>
        <w:t>high-quality</w:t>
      </w:r>
      <w:r w:rsidRPr="003F3B8A">
        <w:rPr>
          <w:rFonts w:cstheme="minorHAnsi"/>
        </w:rPr>
        <w:t xml:space="preserve"> written strategy, synthesis</w:t>
      </w:r>
      <w:r>
        <w:rPr>
          <w:rFonts w:cstheme="minorHAnsi"/>
        </w:rPr>
        <w:t>,</w:t>
      </w:r>
      <w:r w:rsidRPr="003F3B8A">
        <w:rPr>
          <w:rFonts w:cstheme="minorHAnsi"/>
        </w:rPr>
        <w:t xml:space="preserve"> and </w:t>
      </w:r>
      <w:r w:rsidR="00F31407">
        <w:rPr>
          <w:rFonts w:cstheme="minorHAnsi"/>
        </w:rPr>
        <w:t xml:space="preserve">implementation </w:t>
      </w:r>
      <w:r w:rsidR="00E61181">
        <w:rPr>
          <w:rFonts w:cstheme="minorHAnsi"/>
        </w:rPr>
        <w:t>plan</w:t>
      </w:r>
      <w:r w:rsidR="00F31407">
        <w:rPr>
          <w:rFonts w:cstheme="minorHAnsi"/>
        </w:rPr>
        <w:t xml:space="preserve"> </w:t>
      </w:r>
      <w:r w:rsidRPr="003F3B8A">
        <w:rPr>
          <w:rFonts w:cstheme="minorHAnsi"/>
        </w:rPr>
        <w:t>recommendations on related subjects.</w:t>
      </w:r>
    </w:p>
    <w:p w14:paraId="57BDCC1D" w14:textId="2E01EA0C" w:rsidR="00AB7040" w:rsidRDefault="00334BA5">
      <w:pPr>
        <w:pStyle w:val="ListParagraph"/>
        <w:numPr>
          <w:ilvl w:val="0"/>
          <w:numId w:val="3"/>
        </w:numPr>
        <w:spacing w:after="0"/>
        <w:jc w:val="both"/>
        <w:rPr>
          <w:rFonts w:eastAsia="Arial" w:cstheme="minorHAnsi"/>
        </w:rPr>
      </w:pPr>
      <w:r>
        <w:rPr>
          <w:rFonts w:eastAsia="Arial" w:cstheme="minorHAnsi"/>
        </w:rPr>
        <w:t xml:space="preserve">Experience and </w:t>
      </w:r>
      <w:r w:rsidR="00B87873">
        <w:rPr>
          <w:rFonts w:eastAsia="Arial" w:cstheme="minorHAnsi"/>
        </w:rPr>
        <w:t>extensive</w:t>
      </w:r>
      <w:r>
        <w:rPr>
          <w:rFonts w:eastAsia="Arial" w:cstheme="minorHAnsi"/>
        </w:rPr>
        <w:t xml:space="preserve"> </w:t>
      </w:r>
      <w:r w:rsidR="00CD20CC">
        <w:rPr>
          <w:rFonts w:eastAsia="Arial" w:cstheme="minorHAnsi"/>
        </w:rPr>
        <w:t xml:space="preserve">writing </w:t>
      </w:r>
      <w:r>
        <w:rPr>
          <w:rFonts w:eastAsia="Arial" w:cstheme="minorHAnsi"/>
        </w:rPr>
        <w:t xml:space="preserve">skills </w:t>
      </w:r>
      <w:r w:rsidR="00E61181">
        <w:rPr>
          <w:rFonts w:eastAsia="Arial" w:cstheme="minorHAnsi"/>
        </w:rPr>
        <w:t xml:space="preserve">in </w:t>
      </w:r>
      <w:r w:rsidR="00CD20CC">
        <w:rPr>
          <w:rFonts w:eastAsia="Arial" w:cstheme="minorHAnsi"/>
        </w:rPr>
        <w:t>relation to</w:t>
      </w:r>
      <w:r>
        <w:rPr>
          <w:rFonts w:eastAsia="Arial" w:cstheme="minorHAnsi"/>
        </w:rPr>
        <w:t xml:space="preserve"> the development of public-learning outputs</w:t>
      </w:r>
      <w:r w:rsidR="00B87873">
        <w:rPr>
          <w:rFonts w:eastAsia="Arial" w:cstheme="minorHAnsi"/>
        </w:rPr>
        <w:t xml:space="preserve"> for private and public sector audiences</w:t>
      </w:r>
      <w:r w:rsidR="00C22762">
        <w:rPr>
          <w:rFonts w:eastAsia="Arial" w:cstheme="minorHAnsi"/>
        </w:rPr>
        <w:t>,</w:t>
      </w:r>
      <w:r>
        <w:rPr>
          <w:rFonts w:eastAsia="Arial" w:cstheme="minorHAnsi"/>
        </w:rPr>
        <w:t xml:space="preserve"> such as </w:t>
      </w:r>
      <w:r w:rsidR="00C22762">
        <w:rPr>
          <w:rFonts w:eastAsia="Arial" w:cstheme="minorHAnsi"/>
        </w:rPr>
        <w:t xml:space="preserve">donor reports, </w:t>
      </w:r>
      <w:r>
        <w:rPr>
          <w:rFonts w:eastAsia="Arial" w:cstheme="minorHAnsi"/>
        </w:rPr>
        <w:t>case studies</w:t>
      </w:r>
      <w:r w:rsidR="0016244D">
        <w:rPr>
          <w:rFonts w:eastAsia="Arial" w:cstheme="minorHAnsi"/>
        </w:rPr>
        <w:t>, blogs</w:t>
      </w:r>
      <w:r w:rsidR="00B87873">
        <w:rPr>
          <w:rFonts w:eastAsia="Arial" w:cstheme="minorHAnsi"/>
        </w:rPr>
        <w:t>,</w:t>
      </w:r>
      <w:r w:rsidR="0016244D">
        <w:rPr>
          <w:rFonts w:eastAsia="Arial" w:cstheme="minorHAnsi"/>
        </w:rPr>
        <w:t xml:space="preserve"> and social media kits.</w:t>
      </w:r>
    </w:p>
    <w:p w14:paraId="7519DC77" w14:textId="1A7CA607" w:rsidR="008D4EE5" w:rsidRPr="00B87873" w:rsidRDefault="00334BA5" w:rsidP="00B87873">
      <w:pPr>
        <w:pStyle w:val="ListParagraph"/>
        <w:numPr>
          <w:ilvl w:val="0"/>
          <w:numId w:val="3"/>
        </w:numPr>
        <w:spacing w:after="0"/>
        <w:jc w:val="both"/>
        <w:rPr>
          <w:rFonts w:eastAsia="Arial" w:cstheme="minorHAnsi"/>
        </w:rPr>
      </w:pPr>
      <w:bookmarkStart w:id="0" w:name="_Hlk93355333"/>
      <w:r>
        <w:rPr>
          <w:rFonts w:eastAsia="Arial" w:cstheme="minorHAnsi"/>
        </w:rPr>
        <w:t>Demonstrated skills in networking and partnership management</w:t>
      </w:r>
      <w:r w:rsidR="00B87873">
        <w:rPr>
          <w:rFonts w:eastAsia="Arial" w:cstheme="minorHAnsi"/>
        </w:rPr>
        <w:t xml:space="preserve"> and</w:t>
      </w:r>
      <w:r w:rsidR="008D4EE5" w:rsidRPr="00B87873">
        <w:rPr>
          <w:rFonts w:cstheme="minorHAnsi"/>
        </w:rPr>
        <w:t xml:space="preserve"> </w:t>
      </w:r>
      <w:r w:rsidR="00C22762">
        <w:rPr>
          <w:rFonts w:cstheme="minorHAnsi"/>
        </w:rPr>
        <w:t xml:space="preserve">the </w:t>
      </w:r>
      <w:r w:rsidR="008D4EE5" w:rsidRPr="00B87873">
        <w:rPr>
          <w:rFonts w:cstheme="minorHAnsi"/>
        </w:rPr>
        <w:t>ability to work collaboratively across multidisciplinary and multicultural teams to develop learning outputs.</w:t>
      </w:r>
    </w:p>
    <w:p w14:paraId="270CE416" w14:textId="2DF1C545" w:rsidR="00AB7040" w:rsidRDefault="001C417D" w:rsidP="00B87873">
      <w:pPr>
        <w:pStyle w:val="ListParagraph"/>
        <w:numPr>
          <w:ilvl w:val="0"/>
          <w:numId w:val="3"/>
        </w:numPr>
        <w:spacing w:after="0"/>
        <w:jc w:val="both"/>
        <w:rPr>
          <w:rFonts w:eastAsia="Arial" w:cstheme="minorHAnsi"/>
        </w:rPr>
      </w:pPr>
      <w:r>
        <w:rPr>
          <w:rFonts w:eastAsia="Arial" w:cstheme="minorHAnsi"/>
        </w:rPr>
        <w:t xml:space="preserve">Master’s degree in </w:t>
      </w:r>
      <w:r w:rsidR="00B87873">
        <w:rPr>
          <w:rFonts w:eastAsia="Arial" w:cstheme="minorHAnsi"/>
        </w:rPr>
        <w:t>development and/or agricultural economics, monitoring and evaluation, agribusiness,</w:t>
      </w:r>
      <w:r>
        <w:rPr>
          <w:rFonts w:eastAsia="Arial" w:cstheme="minorHAnsi"/>
        </w:rPr>
        <w:t xml:space="preserve"> gender development, or related fields</w:t>
      </w:r>
      <w:r w:rsidR="00B87873">
        <w:rPr>
          <w:rFonts w:eastAsia="Arial" w:cstheme="minorHAnsi"/>
        </w:rPr>
        <w:t xml:space="preserve"> with technical skills in finance, gender</w:t>
      </w:r>
      <w:r w:rsidR="00C22762">
        <w:rPr>
          <w:rFonts w:eastAsia="Arial" w:cstheme="minorHAnsi"/>
        </w:rPr>
        <w:t>,</w:t>
      </w:r>
      <w:r>
        <w:rPr>
          <w:rFonts w:eastAsia="Arial" w:cstheme="minorHAnsi"/>
        </w:rPr>
        <w:t xml:space="preserve"> and</w:t>
      </w:r>
      <w:r w:rsidR="00B87873">
        <w:rPr>
          <w:rFonts w:eastAsia="Arial" w:cstheme="minorHAnsi"/>
        </w:rPr>
        <w:t xml:space="preserve"> M&amp;E</w:t>
      </w:r>
      <w:bookmarkEnd w:id="0"/>
      <w:r>
        <w:rPr>
          <w:rFonts w:eastAsia="Arial" w:cstheme="minorHAnsi"/>
        </w:rPr>
        <w:t>.</w:t>
      </w:r>
    </w:p>
    <w:p w14:paraId="2AAEE706" w14:textId="77777777" w:rsidR="00B87873" w:rsidRPr="00B87873" w:rsidRDefault="00B87873" w:rsidP="00B87873">
      <w:pPr>
        <w:pStyle w:val="ListParagraph"/>
        <w:spacing w:after="0"/>
        <w:ind w:left="1080"/>
        <w:jc w:val="both"/>
        <w:rPr>
          <w:rFonts w:eastAsia="Arial" w:cstheme="minorHAnsi"/>
        </w:rPr>
      </w:pPr>
    </w:p>
    <w:p w14:paraId="3496E3BA" w14:textId="77777777" w:rsidR="00AB7040" w:rsidRDefault="00334BA5">
      <w:pPr>
        <w:shd w:val="clear" w:color="auto" w:fill="B80000"/>
        <w:spacing w:after="120"/>
        <w:jc w:val="both"/>
        <w:rPr>
          <w:rFonts w:ascii="Calibri" w:eastAsia="SimSun" w:hAnsi="Calibri" w:cs="Times New Roman"/>
          <w:b/>
          <w:bCs/>
          <w:i/>
          <w:color w:val="FFFFFF"/>
        </w:rPr>
      </w:pPr>
      <w:r>
        <w:rPr>
          <w:rFonts w:ascii="Calibri" w:eastAsia="SimSun" w:hAnsi="Calibri" w:cs="Times New Roman"/>
          <w:b/>
          <w:bCs/>
          <w:color w:val="FFFFFF"/>
        </w:rPr>
        <w:t>Ownership/Control of Work Product/Publication</w:t>
      </w:r>
      <w:r>
        <w:rPr>
          <w:rFonts w:ascii="Calibri" w:eastAsia="SimSun" w:hAnsi="Calibri" w:cs="Times New Roman"/>
          <w:b/>
          <w:bCs/>
          <w:color w:val="FFFFFF"/>
        </w:rPr>
        <w:tab/>
      </w:r>
    </w:p>
    <w:p w14:paraId="1BAB3834" w14:textId="5DF30205" w:rsidR="00AB7040" w:rsidRDefault="00334BA5">
      <w:pPr>
        <w:spacing w:after="480"/>
        <w:jc w:val="both"/>
      </w:pPr>
      <w:r>
        <w:t xml:space="preserve">Matters relating to ownership and control of work </w:t>
      </w:r>
      <w:r w:rsidR="001C417D">
        <w:t>products</w:t>
      </w:r>
      <w:r>
        <w:t xml:space="preserve"> and publication of materials produced </w:t>
      </w:r>
      <w:r w:rsidR="001C417D">
        <w:t>during</w:t>
      </w:r>
      <w:r>
        <w:t xml:space="preserve"> this engagement are addressed in the main contract agreement </w:t>
      </w:r>
      <w:r w:rsidR="00C22762">
        <w:t>entered</w:t>
      </w:r>
      <w:r w:rsidR="00B8503F">
        <w:t xml:space="preserve"> </w:t>
      </w:r>
      <w:r>
        <w:t xml:space="preserve">between Mercy Corps and the Consultant for </w:t>
      </w:r>
      <w:r w:rsidR="001C417D">
        <w:t xml:space="preserve">the </w:t>
      </w:r>
      <w:r>
        <w:t xml:space="preserve">performance of services for </w:t>
      </w:r>
      <w:r w:rsidR="001C417D">
        <w:t xml:space="preserve">the </w:t>
      </w:r>
      <w:r>
        <w:t xml:space="preserve">AgriFin </w:t>
      </w:r>
      <w:r w:rsidR="001C417D">
        <w:t>Program</w:t>
      </w:r>
      <w:r>
        <w:t xml:space="preserve">. </w:t>
      </w:r>
    </w:p>
    <w:p w14:paraId="1297F05F" w14:textId="77777777" w:rsidR="00AB7040" w:rsidRDefault="00334BA5">
      <w:pPr>
        <w:shd w:val="clear" w:color="auto" w:fill="B80000"/>
        <w:spacing w:after="120"/>
        <w:jc w:val="both"/>
        <w:rPr>
          <w:rFonts w:ascii="Calibri" w:eastAsia="SimSun" w:hAnsi="Calibri" w:cs="Times New Roman"/>
          <w:b/>
          <w:bCs/>
          <w:i/>
          <w:color w:val="FFFFFF"/>
        </w:rPr>
      </w:pPr>
      <w:r>
        <w:rPr>
          <w:rFonts w:ascii="Calibri" w:eastAsia="SimSun" w:hAnsi="Calibri" w:cs="Times New Roman"/>
          <w:b/>
          <w:bCs/>
          <w:color w:val="FFFFFF"/>
        </w:rPr>
        <w:t xml:space="preserve">Authorship and Acknowledgement </w:t>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p>
    <w:p w14:paraId="69ED18F1" w14:textId="6DC930E6" w:rsidR="00AB7040" w:rsidRDefault="00334BA5">
      <w:pPr>
        <w:spacing w:after="480"/>
        <w:jc w:val="both"/>
      </w:pPr>
      <w:r>
        <w:lastRenderedPageBreak/>
        <w:t xml:space="preserve">Matters relating to authorship and acknowledgment of any materials produced by the Consultant </w:t>
      </w:r>
      <w:r w:rsidR="00D749AA">
        <w:t>during</w:t>
      </w:r>
      <w:r>
        <w:t xml:space="preserve"> this engagement are addressed in the main contract agreement </w:t>
      </w:r>
      <w:r w:rsidR="00E61181">
        <w:t>between</w:t>
      </w:r>
      <w:r>
        <w:t xml:space="preserve"> Mercy Corps and the Consultant for </w:t>
      </w:r>
      <w:r w:rsidR="001C417D">
        <w:t xml:space="preserve">the </w:t>
      </w:r>
      <w:r>
        <w:t xml:space="preserve">performance of services for </w:t>
      </w:r>
      <w:r w:rsidR="001C417D">
        <w:t xml:space="preserve">the </w:t>
      </w:r>
      <w:r>
        <w:t xml:space="preserve">AgriFin </w:t>
      </w:r>
      <w:r w:rsidR="001C417D">
        <w:t>Program</w:t>
      </w:r>
      <w:r>
        <w:t>.</w:t>
      </w:r>
    </w:p>
    <w:p w14:paraId="47E2CABD" w14:textId="77777777" w:rsidR="00AB7040" w:rsidRDefault="00334BA5">
      <w:pPr>
        <w:shd w:val="clear" w:color="auto" w:fill="B80000"/>
        <w:spacing w:after="120"/>
        <w:jc w:val="both"/>
        <w:rPr>
          <w:rFonts w:ascii="Calibri" w:eastAsia="SimSun" w:hAnsi="Calibri" w:cs="Times New Roman"/>
          <w:b/>
          <w:bCs/>
          <w:color w:val="FFFFFF"/>
        </w:rPr>
      </w:pPr>
      <w:r>
        <w:rPr>
          <w:rFonts w:ascii="Calibri" w:eastAsia="SimSun" w:hAnsi="Calibri" w:cs="Times New Roman"/>
          <w:b/>
          <w:bCs/>
          <w:color w:val="FFFFFF"/>
        </w:rPr>
        <w:t>Task Manager/Reporting</w:t>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r>
        <w:rPr>
          <w:rFonts w:ascii="Calibri" w:eastAsia="SimSun" w:hAnsi="Calibri" w:cs="Times New Roman"/>
          <w:b/>
          <w:bCs/>
          <w:color w:val="FFFFFF"/>
        </w:rPr>
        <w:tab/>
      </w:r>
    </w:p>
    <w:p w14:paraId="628891CB" w14:textId="4EA16C3B" w:rsidR="00AB7040" w:rsidRDefault="00334BA5">
      <w:pPr>
        <w:jc w:val="both"/>
      </w:pPr>
      <w:r>
        <w:rPr>
          <w:rFonts w:ascii="Calibri" w:eastAsia="SimSun" w:hAnsi="Calibri" w:cs="Times New Roman"/>
        </w:rPr>
        <w:t>The Task Manager for this engagement is</w:t>
      </w:r>
      <w:r w:rsidR="001C417D">
        <w:rPr>
          <w:rFonts w:ascii="Calibri" w:eastAsia="SimSun" w:hAnsi="Calibri" w:cs="Times New Roman"/>
        </w:rPr>
        <w:t xml:space="preserve"> Strategic Learning</w:t>
      </w:r>
      <w:r>
        <w:rPr>
          <w:rFonts w:ascii="Calibri" w:eastAsia="SimSun" w:hAnsi="Calibri" w:cs="Times New Roman"/>
        </w:rPr>
        <w:t xml:space="preserve"> Director, Collins Marita</w:t>
      </w:r>
      <w:r w:rsidR="00C22762">
        <w:rPr>
          <w:rFonts w:ascii="Calibri" w:eastAsia="SimSun" w:hAnsi="Calibri" w:cs="Times New Roman"/>
        </w:rPr>
        <w:t>,</w:t>
      </w:r>
      <w:r>
        <w:rPr>
          <w:rFonts w:ascii="Calibri" w:eastAsia="SimSun" w:hAnsi="Calibri" w:cs="Times New Roman"/>
        </w:rPr>
        <w:t xml:space="preserve"> supported by the ME</w:t>
      </w:r>
      <w:r w:rsidR="001C417D">
        <w:rPr>
          <w:rFonts w:ascii="Calibri" w:eastAsia="SimSun" w:hAnsi="Calibri" w:cs="Times New Roman"/>
        </w:rPr>
        <w:t>RA</w:t>
      </w:r>
      <w:r>
        <w:rPr>
          <w:rFonts w:ascii="Calibri" w:eastAsia="SimSun" w:hAnsi="Calibri" w:cs="Times New Roman"/>
        </w:rPr>
        <w:t xml:space="preserve">L technical team. The </w:t>
      </w:r>
      <w:r>
        <w:t>Consultant</w:t>
      </w:r>
      <w:r w:rsidR="001C417D">
        <w:t xml:space="preserve"> </w:t>
      </w:r>
      <w:r>
        <w:t xml:space="preserve">will direct all communications to </w:t>
      </w:r>
      <w:r w:rsidR="001C417D">
        <w:t xml:space="preserve">the </w:t>
      </w:r>
      <w:r w:rsidR="00B8503F">
        <w:t>MERAL</w:t>
      </w:r>
      <w:r w:rsidR="001C417D">
        <w:t xml:space="preserve"> manager</w:t>
      </w:r>
      <w:r w:rsidR="00B8503F">
        <w:t>,</w:t>
      </w:r>
      <w:r w:rsidR="001C417D">
        <w:t xml:space="preserve"> who </w:t>
      </w:r>
      <w:r>
        <w:t>will ensure full coordination and timely fulfillment and delivery of the deliverables.</w:t>
      </w:r>
    </w:p>
    <w:sectPr w:rsidR="00AB704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0551" w14:textId="77777777" w:rsidR="00DE1D5B" w:rsidRDefault="00DE1D5B">
      <w:pPr>
        <w:spacing w:line="240" w:lineRule="auto"/>
      </w:pPr>
      <w:r>
        <w:separator/>
      </w:r>
    </w:p>
  </w:endnote>
  <w:endnote w:type="continuationSeparator" w:id="0">
    <w:p w14:paraId="617ED42E" w14:textId="77777777" w:rsidR="00DE1D5B" w:rsidRDefault="00DE1D5B">
      <w:pPr>
        <w:spacing w:line="240" w:lineRule="auto"/>
      </w:pPr>
      <w:r>
        <w:continuationSeparator/>
      </w:r>
    </w:p>
  </w:endnote>
  <w:endnote w:id="1">
    <w:p w14:paraId="32F44FB3" w14:textId="77777777" w:rsidR="00AB7040" w:rsidRDefault="00334BA5">
      <w:pPr>
        <w:pStyle w:val="EndnoteText"/>
        <w:ind w:left="180" w:hanging="180"/>
        <w:rPr>
          <w:sz w:val="10"/>
          <w:szCs w:val="10"/>
        </w:rPr>
      </w:pPr>
      <w:r>
        <w:rPr>
          <w:rStyle w:val="EndnoteReference"/>
          <w:sz w:val="10"/>
          <w:szCs w:val="10"/>
        </w:rPr>
        <w:endnoteRef/>
      </w:r>
      <w:r>
        <w:rPr>
          <w:sz w:val="10"/>
          <w:szCs w:val="10"/>
        </w:rPr>
        <w:t xml:space="preserve"> IFAD, </w:t>
      </w:r>
      <w:r>
        <w:rPr>
          <w:rFonts w:eastAsiaTheme="minorEastAsia"/>
          <w:sz w:val="10"/>
          <w:szCs w:val="10"/>
        </w:rPr>
        <w:t>Smallholders, food security, and the environment</w:t>
      </w:r>
      <w:r>
        <w:rPr>
          <w:rStyle w:val="A1"/>
          <w:sz w:val="10"/>
          <w:szCs w:val="10"/>
        </w:rPr>
        <w:t xml:space="preserve">, </w:t>
      </w:r>
      <w:r>
        <w:rPr>
          <w:sz w:val="10"/>
          <w:szCs w:val="10"/>
        </w:rPr>
        <w:t>2013</w:t>
      </w:r>
    </w:p>
  </w:endnote>
  <w:endnote w:id="2">
    <w:p w14:paraId="61A24A6F" w14:textId="77777777" w:rsidR="00AB7040" w:rsidRDefault="00334BA5">
      <w:pPr>
        <w:autoSpaceDE w:val="0"/>
        <w:autoSpaceDN w:val="0"/>
        <w:adjustRightInd w:val="0"/>
        <w:spacing w:after="0"/>
        <w:ind w:left="180" w:hanging="180"/>
        <w:rPr>
          <w:bCs/>
          <w:sz w:val="10"/>
          <w:szCs w:val="10"/>
        </w:rPr>
      </w:pPr>
      <w:r>
        <w:rPr>
          <w:rStyle w:val="EndnoteReference"/>
          <w:sz w:val="10"/>
          <w:szCs w:val="10"/>
        </w:rPr>
        <w:endnoteRef/>
      </w:r>
      <w:r>
        <w:rPr>
          <w:sz w:val="10"/>
          <w:szCs w:val="10"/>
        </w:rPr>
        <w:t xml:space="preserve"> IFAD, “</w:t>
      </w:r>
      <w:r>
        <w:rPr>
          <w:bCs/>
          <w:sz w:val="10"/>
          <w:szCs w:val="10"/>
        </w:rPr>
        <w:t>Sub-Saharan Africa: The state of smallholders in agriculture”, Schonberger and Delaney 2011.</w:t>
      </w:r>
    </w:p>
  </w:endnote>
  <w:endnote w:id="3">
    <w:p w14:paraId="2A0E7E4F" w14:textId="77777777" w:rsidR="00AB7040" w:rsidRDefault="00334BA5">
      <w:pPr>
        <w:pStyle w:val="Default"/>
        <w:ind w:left="180" w:hanging="180"/>
        <w:rPr>
          <w:rFonts w:asciiTheme="minorHAnsi" w:hAnsiTheme="minorHAnsi" w:cs="Times New Roman"/>
          <w:color w:val="auto"/>
          <w:sz w:val="10"/>
          <w:szCs w:val="10"/>
        </w:rPr>
      </w:pPr>
      <w:r>
        <w:rPr>
          <w:rStyle w:val="EndnoteReference"/>
          <w:rFonts w:asciiTheme="minorHAnsi" w:hAnsiTheme="minorHAnsi" w:cs="Times New Roman"/>
          <w:color w:val="auto"/>
          <w:sz w:val="10"/>
          <w:szCs w:val="10"/>
        </w:rPr>
        <w:endnoteRef/>
      </w:r>
      <w:r>
        <w:rPr>
          <w:rFonts w:asciiTheme="minorHAnsi" w:hAnsiTheme="minorHAnsi" w:cs="Times New Roman"/>
          <w:color w:val="auto"/>
          <w:sz w:val="10"/>
          <w:szCs w:val="10"/>
        </w:rPr>
        <w:t xml:space="preserve"> Peck, Anderson, “Segmentation of Smallholder Households: Meeting the Range of Financial Needs in Agricultural Families”, CGAP Focus Note #85, April 2013.</w:t>
      </w:r>
    </w:p>
  </w:endnote>
  <w:endnote w:id="4">
    <w:p w14:paraId="09106B74" w14:textId="77777777" w:rsidR="00AB7040" w:rsidRDefault="00334BA5">
      <w:pPr>
        <w:pStyle w:val="EndnoteText"/>
        <w:ind w:left="180" w:hanging="180"/>
        <w:rPr>
          <w:sz w:val="10"/>
          <w:szCs w:val="10"/>
        </w:rPr>
      </w:pPr>
      <w:r>
        <w:rPr>
          <w:rStyle w:val="EndnoteReference"/>
          <w:sz w:val="10"/>
          <w:szCs w:val="10"/>
        </w:rPr>
        <w:endnoteRef/>
      </w:r>
      <w:r>
        <w:rPr>
          <w:sz w:val="10"/>
          <w:szCs w:val="10"/>
        </w:rPr>
        <w:t xml:space="preserve"> Dalberg, 2013</w:t>
      </w:r>
    </w:p>
  </w:endnote>
  <w:endnote w:id="5">
    <w:p w14:paraId="55F6F0F2" w14:textId="77777777" w:rsidR="00AB7040" w:rsidRDefault="00334BA5">
      <w:pPr>
        <w:pStyle w:val="EndnoteText"/>
        <w:ind w:left="180" w:hanging="180"/>
        <w:rPr>
          <w:sz w:val="10"/>
          <w:szCs w:val="10"/>
        </w:rPr>
      </w:pPr>
      <w:r>
        <w:rPr>
          <w:rStyle w:val="EndnoteReference"/>
          <w:sz w:val="10"/>
          <w:szCs w:val="10"/>
        </w:rPr>
        <w:endnoteRef/>
      </w:r>
      <w:r>
        <w:rPr>
          <w:sz w:val="10"/>
          <w:szCs w:val="10"/>
        </w:rPr>
        <w:t xml:space="preserve"> Dalberg, 2013</w:t>
      </w:r>
    </w:p>
  </w:endnote>
  <w:endnote w:id="6">
    <w:p w14:paraId="7D864967" w14:textId="77777777" w:rsidR="00AB7040" w:rsidRDefault="00334BA5">
      <w:pPr>
        <w:pStyle w:val="EndnoteText"/>
        <w:rPr>
          <w:sz w:val="10"/>
          <w:szCs w:val="10"/>
        </w:rPr>
      </w:pPr>
      <w:r>
        <w:rPr>
          <w:rStyle w:val="EndnoteReference"/>
          <w:sz w:val="10"/>
          <w:szCs w:val="10"/>
        </w:rPr>
        <w:endnoteRef/>
      </w:r>
      <w:r>
        <w:rPr>
          <w:sz w:val="10"/>
          <w:szCs w:val="10"/>
        </w:rPr>
        <w:t xml:space="preserve"> MasterCard Foundation, “Inflection Point: Unlocking growth in the era of farmer finance”, April 2016</w:t>
      </w:r>
    </w:p>
  </w:endnote>
  <w:endnote w:id="7">
    <w:p w14:paraId="23BAFE4A" w14:textId="77777777" w:rsidR="00AB7040" w:rsidRDefault="00334BA5">
      <w:pPr>
        <w:pStyle w:val="EndnoteText"/>
        <w:ind w:left="180" w:hanging="180"/>
        <w:rPr>
          <w:sz w:val="10"/>
          <w:szCs w:val="10"/>
        </w:rPr>
      </w:pPr>
      <w:r>
        <w:rPr>
          <w:rStyle w:val="EndnoteReference"/>
          <w:sz w:val="10"/>
          <w:szCs w:val="10"/>
        </w:rPr>
        <w:endnoteRef/>
      </w:r>
      <w:r>
        <w:rPr>
          <w:sz w:val="10"/>
          <w:szCs w:val="10"/>
        </w:rPr>
        <w:t xml:space="preserve"> Dalberg, 2013</w:t>
      </w:r>
    </w:p>
  </w:endnote>
  <w:endnote w:id="8">
    <w:p w14:paraId="57BA18C0" w14:textId="77777777" w:rsidR="00AB7040" w:rsidRDefault="00334BA5">
      <w:pPr>
        <w:pStyle w:val="EndnoteText"/>
        <w:ind w:left="180" w:hanging="180"/>
        <w:rPr>
          <w:sz w:val="18"/>
          <w:szCs w:val="18"/>
        </w:rPr>
      </w:pPr>
      <w:r>
        <w:rPr>
          <w:rStyle w:val="EndnoteReference"/>
          <w:sz w:val="10"/>
          <w:szCs w:val="10"/>
        </w:rPr>
        <w:endnoteRef/>
      </w:r>
      <w:r>
        <w:rPr>
          <w:sz w:val="10"/>
          <w:szCs w:val="10"/>
        </w:rPr>
        <w:t xml:space="preserve"> Peck, Anderson, “Segmentation of Smallholder Households: Meeting the Range of Financial Needs in Agricultural Families”, CGAP Focus Note #85, April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default"/>
    <w:sig w:usb0="00000000" w:usb1="00000000" w:usb2="00000000" w:usb3="00000000" w:csb0="000001BF" w:csb1="00000000"/>
  </w:font>
  <w:font w:name="Giovanni Book">
    <w:altName w:val="Cambria"/>
    <w:charset w:val="00"/>
    <w:family w:val="roman"/>
    <w:pitch w:val="default"/>
    <w:sig w:usb0="00000000" w:usb1="00000000" w:usb2="00000000" w:usb3="00000000" w:csb0="00000001" w:csb1="00000000"/>
  </w:font>
  <w:font w:name="Frutiger-Light">
    <w:altName w:val="Segoe Print"/>
    <w:charset w:val="00"/>
    <w:family w:val="swiss"/>
    <w:pitch w:val="default"/>
    <w:sig w:usb0="00000000" w:usb1="00000000" w:usb2="00000000" w:usb3="00000000" w:csb0="00000001" w:csb1="00000000"/>
  </w:font>
  <w:font w:name="Avenir 55 Roman">
    <w:altName w:val="Cambria"/>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9F99" w14:textId="77777777" w:rsidR="00DE1D5B" w:rsidRDefault="00DE1D5B">
      <w:pPr>
        <w:spacing w:after="0"/>
      </w:pPr>
      <w:r>
        <w:separator/>
      </w:r>
    </w:p>
  </w:footnote>
  <w:footnote w:type="continuationSeparator" w:id="0">
    <w:p w14:paraId="781A00C3" w14:textId="77777777" w:rsidR="00DE1D5B" w:rsidRDefault="00DE1D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A710" w14:textId="77777777" w:rsidR="00AB7040" w:rsidRDefault="00334BA5">
    <w:pPr>
      <w:pStyle w:val="Header"/>
      <w:tabs>
        <w:tab w:val="clear" w:pos="9360"/>
        <w:tab w:val="right" w:pos="7200"/>
      </w:tabs>
    </w:pPr>
    <w:r>
      <w:rPr>
        <w:noProof/>
      </w:rPr>
      <w:drawing>
        <wp:inline distT="0" distB="0" distL="0" distR="0" wp14:anchorId="1F1A363A" wp14:editId="4B9F2251">
          <wp:extent cx="1286510" cy="419100"/>
          <wp:effectExtent l="0" t="0" r="8890" b="0"/>
          <wp:docPr id="10" name="MCbrand_Logo_Horizontal_PMS_186_PC.png" descr="/Users/mmarosz/Desktop/GoGoGo/MC_NEW_BRAND/11. Final Logo Files/Horizontal/Digital/MCbrand_Logo_Horizontal_PMS_186_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Cbrand_Logo_Horizontal_PMS_186_PC.png" descr="/Users/mmarosz/Desktop/GoGoGo/MC_NEW_BRAND/11. Final Logo Files/Horizontal/Digital/MCbrand_Logo_Horizontal_PMS_186_PC.png"/>
                  <pic:cNvPicPr>
                    <a:picLocks noChangeAspect="1"/>
                  </pic:cNvPicPr>
                </pic:nvPicPr>
                <pic:blipFill>
                  <a:blip r:embed="rId1" r:link="rId2" cstate="screen"/>
                  <a:stretch>
                    <a:fillRect/>
                  </a:stretch>
                </pic:blipFill>
                <pic:spPr>
                  <a:xfrm>
                    <a:off x="0" y="0"/>
                    <a:ext cx="1286929" cy="419180"/>
                  </a:xfrm>
                  <a:prstGeom prst="rect">
                    <a:avLst/>
                  </a:prstGeom>
                </pic:spPr>
              </pic:pic>
            </a:graphicData>
          </a:graphic>
        </wp:inline>
      </w:drawing>
    </w:r>
    <w:r>
      <w:tab/>
    </w:r>
    <w:r>
      <w:tab/>
    </w:r>
  </w:p>
  <w:p w14:paraId="2B5DE9AE" w14:textId="77777777" w:rsidR="00AB7040" w:rsidRDefault="00AB7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279F8"/>
    <w:multiLevelType w:val="hybridMultilevel"/>
    <w:tmpl w:val="BD9C8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10591E"/>
    <w:multiLevelType w:val="multilevel"/>
    <w:tmpl w:val="35AEBEB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741CD0"/>
    <w:multiLevelType w:val="hybridMultilevel"/>
    <w:tmpl w:val="FBFC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3B51"/>
    <w:multiLevelType w:val="hybridMultilevel"/>
    <w:tmpl w:val="BC44EC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EE20008"/>
    <w:multiLevelType w:val="multilevel"/>
    <w:tmpl w:val="4EE200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1B62D2"/>
    <w:multiLevelType w:val="hybridMultilevel"/>
    <w:tmpl w:val="D33A1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965F1"/>
    <w:multiLevelType w:val="multilevel"/>
    <w:tmpl w:val="508965F1"/>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2047179"/>
    <w:multiLevelType w:val="hybridMultilevel"/>
    <w:tmpl w:val="19D8B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2369DC"/>
    <w:multiLevelType w:val="multilevel"/>
    <w:tmpl w:val="7D2369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27995908">
    <w:abstractNumId w:val="8"/>
  </w:num>
  <w:num w:numId="2" w16cid:durableId="1579241471">
    <w:abstractNumId w:val="4"/>
  </w:num>
  <w:num w:numId="3" w16cid:durableId="77095618">
    <w:abstractNumId w:val="6"/>
  </w:num>
  <w:num w:numId="4" w16cid:durableId="968245757">
    <w:abstractNumId w:val="1"/>
  </w:num>
  <w:num w:numId="5" w16cid:durableId="1280991171">
    <w:abstractNumId w:val="2"/>
  </w:num>
  <w:num w:numId="6" w16cid:durableId="2003585268">
    <w:abstractNumId w:val="3"/>
  </w:num>
  <w:num w:numId="7" w16cid:durableId="1846480060">
    <w:abstractNumId w:val="3"/>
  </w:num>
  <w:num w:numId="8" w16cid:durableId="569390215">
    <w:abstractNumId w:val="5"/>
  </w:num>
  <w:num w:numId="9" w16cid:durableId="1278215285">
    <w:abstractNumId w:val="0"/>
  </w:num>
  <w:num w:numId="10" w16cid:durableId="1131243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A7"/>
    <w:rsid w:val="00010B2B"/>
    <w:rsid w:val="00011787"/>
    <w:rsid w:val="00013012"/>
    <w:rsid w:val="000162F4"/>
    <w:rsid w:val="0002076F"/>
    <w:rsid w:val="00020E90"/>
    <w:rsid w:val="00022E7B"/>
    <w:rsid w:val="00032E8C"/>
    <w:rsid w:val="00033D82"/>
    <w:rsid w:val="00033E4A"/>
    <w:rsid w:val="00040119"/>
    <w:rsid w:val="0004248B"/>
    <w:rsid w:val="000426A9"/>
    <w:rsid w:val="0004712D"/>
    <w:rsid w:val="00050828"/>
    <w:rsid w:val="000533E2"/>
    <w:rsid w:val="00053AC6"/>
    <w:rsid w:val="00056A86"/>
    <w:rsid w:val="0006627F"/>
    <w:rsid w:val="000710D8"/>
    <w:rsid w:val="00071F94"/>
    <w:rsid w:val="00073E46"/>
    <w:rsid w:val="00074780"/>
    <w:rsid w:val="000756C5"/>
    <w:rsid w:val="00076087"/>
    <w:rsid w:val="00076960"/>
    <w:rsid w:val="0008191A"/>
    <w:rsid w:val="00082206"/>
    <w:rsid w:val="00090D64"/>
    <w:rsid w:val="00092D6D"/>
    <w:rsid w:val="000950F8"/>
    <w:rsid w:val="000974B2"/>
    <w:rsid w:val="000A0FAE"/>
    <w:rsid w:val="000A3004"/>
    <w:rsid w:val="000A3F0D"/>
    <w:rsid w:val="000A5F8B"/>
    <w:rsid w:val="000A67BB"/>
    <w:rsid w:val="000B1DEB"/>
    <w:rsid w:val="000B7DE1"/>
    <w:rsid w:val="000C002B"/>
    <w:rsid w:val="000C0DEE"/>
    <w:rsid w:val="000C0F32"/>
    <w:rsid w:val="000D110B"/>
    <w:rsid w:val="000D2EED"/>
    <w:rsid w:val="000D756A"/>
    <w:rsid w:val="000E184D"/>
    <w:rsid w:val="000F2749"/>
    <w:rsid w:val="000F3779"/>
    <w:rsid w:val="001008D3"/>
    <w:rsid w:val="00100F4D"/>
    <w:rsid w:val="00105E08"/>
    <w:rsid w:val="00105EE3"/>
    <w:rsid w:val="001107BA"/>
    <w:rsid w:val="00114D0B"/>
    <w:rsid w:val="00126208"/>
    <w:rsid w:val="00127C36"/>
    <w:rsid w:val="00132270"/>
    <w:rsid w:val="001328EC"/>
    <w:rsid w:val="00134B61"/>
    <w:rsid w:val="00153177"/>
    <w:rsid w:val="00154D68"/>
    <w:rsid w:val="00157532"/>
    <w:rsid w:val="0016244D"/>
    <w:rsid w:val="00162716"/>
    <w:rsid w:val="0016597A"/>
    <w:rsid w:val="00171B23"/>
    <w:rsid w:val="00177192"/>
    <w:rsid w:val="001944A0"/>
    <w:rsid w:val="00196280"/>
    <w:rsid w:val="00196D2D"/>
    <w:rsid w:val="0019757D"/>
    <w:rsid w:val="001A1F15"/>
    <w:rsid w:val="001A2E66"/>
    <w:rsid w:val="001A3716"/>
    <w:rsid w:val="001A43AD"/>
    <w:rsid w:val="001A53F3"/>
    <w:rsid w:val="001B2B0D"/>
    <w:rsid w:val="001B5DF0"/>
    <w:rsid w:val="001C0AD5"/>
    <w:rsid w:val="001C335D"/>
    <w:rsid w:val="001C417D"/>
    <w:rsid w:val="001D09C6"/>
    <w:rsid w:val="001D1D0A"/>
    <w:rsid w:val="001D46DA"/>
    <w:rsid w:val="001D74DC"/>
    <w:rsid w:val="001E0907"/>
    <w:rsid w:val="001E195E"/>
    <w:rsid w:val="001E3F1D"/>
    <w:rsid w:val="001F26DA"/>
    <w:rsid w:val="001F2B62"/>
    <w:rsid w:val="001F3900"/>
    <w:rsid w:val="00202020"/>
    <w:rsid w:val="0020248F"/>
    <w:rsid w:val="00207BF1"/>
    <w:rsid w:val="002127E3"/>
    <w:rsid w:val="0021657F"/>
    <w:rsid w:val="002221CA"/>
    <w:rsid w:val="002370D4"/>
    <w:rsid w:val="00243A7A"/>
    <w:rsid w:val="00243B9F"/>
    <w:rsid w:val="00243FB1"/>
    <w:rsid w:val="00246563"/>
    <w:rsid w:val="00251411"/>
    <w:rsid w:val="00252C24"/>
    <w:rsid w:val="00252E01"/>
    <w:rsid w:val="00253993"/>
    <w:rsid w:val="0026192D"/>
    <w:rsid w:val="002646C9"/>
    <w:rsid w:val="00276247"/>
    <w:rsid w:val="00277FEE"/>
    <w:rsid w:val="0029200D"/>
    <w:rsid w:val="00297E91"/>
    <w:rsid w:val="002A49F7"/>
    <w:rsid w:val="002B6A9E"/>
    <w:rsid w:val="002C6DF8"/>
    <w:rsid w:val="002D1A48"/>
    <w:rsid w:val="002D4A7C"/>
    <w:rsid w:val="002E1083"/>
    <w:rsid w:val="002E3691"/>
    <w:rsid w:val="002F4284"/>
    <w:rsid w:val="002F76D3"/>
    <w:rsid w:val="002F7F76"/>
    <w:rsid w:val="00303A11"/>
    <w:rsid w:val="00304F64"/>
    <w:rsid w:val="00310E99"/>
    <w:rsid w:val="003113BA"/>
    <w:rsid w:val="00312E91"/>
    <w:rsid w:val="00317633"/>
    <w:rsid w:val="00320597"/>
    <w:rsid w:val="00320F60"/>
    <w:rsid w:val="00321A4C"/>
    <w:rsid w:val="003257F1"/>
    <w:rsid w:val="003274CB"/>
    <w:rsid w:val="0032773F"/>
    <w:rsid w:val="00327A24"/>
    <w:rsid w:val="00327C81"/>
    <w:rsid w:val="00330834"/>
    <w:rsid w:val="00334BA5"/>
    <w:rsid w:val="003350B3"/>
    <w:rsid w:val="00343089"/>
    <w:rsid w:val="003441A9"/>
    <w:rsid w:val="00346C01"/>
    <w:rsid w:val="00347E18"/>
    <w:rsid w:val="00347EF6"/>
    <w:rsid w:val="00351CFA"/>
    <w:rsid w:val="00353FD2"/>
    <w:rsid w:val="00357997"/>
    <w:rsid w:val="003660ED"/>
    <w:rsid w:val="00366F83"/>
    <w:rsid w:val="00372034"/>
    <w:rsid w:val="003753B4"/>
    <w:rsid w:val="00375D45"/>
    <w:rsid w:val="003828EA"/>
    <w:rsid w:val="003855BE"/>
    <w:rsid w:val="00386B08"/>
    <w:rsid w:val="00386C43"/>
    <w:rsid w:val="00394020"/>
    <w:rsid w:val="003A30F1"/>
    <w:rsid w:val="003A6DFC"/>
    <w:rsid w:val="003B39E4"/>
    <w:rsid w:val="003B539D"/>
    <w:rsid w:val="003B5C37"/>
    <w:rsid w:val="003D1302"/>
    <w:rsid w:val="003D1385"/>
    <w:rsid w:val="003D6016"/>
    <w:rsid w:val="003E09F1"/>
    <w:rsid w:val="003E4616"/>
    <w:rsid w:val="003E4F2F"/>
    <w:rsid w:val="003E52DB"/>
    <w:rsid w:val="003E6578"/>
    <w:rsid w:val="00402D20"/>
    <w:rsid w:val="0040313D"/>
    <w:rsid w:val="00407930"/>
    <w:rsid w:val="00413A7A"/>
    <w:rsid w:val="00414737"/>
    <w:rsid w:val="004148D9"/>
    <w:rsid w:val="004150AF"/>
    <w:rsid w:val="00426862"/>
    <w:rsid w:val="00426B67"/>
    <w:rsid w:val="00426EFE"/>
    <w:rsid w:val="00430098"/>
    <w:rsid w:val="004363E9"/>
    <w:rsid w:val="0043722D"/>
    <w:rsid w:val="004439C8"/>
    <w:rsid w:val="00456285"/>
    <w:rsid w:val="0046415A"/>
    <w:rsid w:val="004735B1"/>
    <w:rsid w:val="0047422D"/>
    <w:rsid w:val="00475A66"/>
    <w:rsid w:val="0048092E"/>
    <w:rsid w:val="00485548"/>
    <w:rsid w:val="0048647A"/>
    <w:rsid w:val="004914E3"/>
    <w:rsid w:val="004974EE"/>
    <w:rsid w:val="00497C19"/>
    <w:rsid w:val="004A15B3"/>
    <w:rsid w:val="004A4469"/>
    <w:rsid w:val="004A47DE"/>
    <w:rsid w:val="004B33F8"/>
    <w:rsid w:val="004B40E8"/>
    <w:rsid w:val="004B6ED5"/>
    <w:rsid w:val="004C1339"/>
    <w:rsid w:val="004C662D"/>
    <w:rsid w:val="004D06E4"/>
    <w:rsid w:val="004D1541"/>
    <w:rsid w:val="004E22CF"/>
    <w:rsid w:val="004E2A19"/>
    <w:rsid w:val="004E7966"/>
    <w:rsid w:val="004F22D9"/>
    <w:rsid w:val="00511774"/>
    <w:rsid w:val="00525182"/>
    <w:rsid w:val="00530F69"/>
    <w:rsid w:val="00554260"/>
    <w:rsid w:val="00554D23"/>
    <w:rsid w:val="005609D0"/>
    <w:rsid w:val="0056254D"/>
    <w:rsid w:val="00567E15"/>
    <w:rsid w:val="00570823"/>
    <w:rsid w:val="00571D06"/>
    <w:rsid w:val="0057224F"/>
    <w:rsid w:val="00573A0E"/>
    <w:rsid w:val="00576A30"/>
    <w:rsid w:val="00584DB9"/>
    <w:rsid w:val="005916BB"/>
    <w:rsid w:val="00592213"/>
    <w:rsid w:val="00593DAB"/>
    <w:rsid w:val="00595C90"/>
    <w:rsid w:val="00596B0E"/>
    <w:rsid w:val="005A293F"/>
    <w:rsid w:val="005A67D7"/>
    <w:rsid w:val="005A7FF7"/>
    <w:rsid w:val="005B22EF"/>
    <w:rsid w:val="005C0816"/>
    <w:rsid w:val="005C1B77"/>
    <w:rsid w:val="005C404C"/>
    <w:rsid w:val="005D4AA7"/>
    <w:rsid w:val="005D5252"/>
    <w:rsid w:val="005E12D4"/>
    <w:rsid w:val="005E6C84"/>
    <w:rsid w:val="005F2332"/>
    <w:rsid w:val="005F507A"/>
    <w:rsid w:val="00603E8E"/>
    <w:rsid w:val="0060408E"/>
    <w:rsid w:val="006046F8"/>
    <w:rsid w:val="0060573A"/>
    <w:rsid w:val="00611CCB"/>
    <w:rsid w:val="00615175"/>
    <w:rsid w:val="00617897"/>
    <w:rsid w:val="0062453F"/>
    <w:rsid w:val="006254F3"/>
    <w:rsid w:val="00625DC0"/>
    <w:rsid w:val="00630757"/>
    <w:rsid w:val="006331EE"/>
    <w:rsid w:val="00635CDC"/>
    <w:rsid w:val="00640410"/>
    <w:rsid w:val="00642586"/>
    <w:rsid w:val="00642FF0"/>
    <w:rsid w:val="00656A49"/>
    <w:rsid w:val="00660187"/>
    <w:rsid w:val="00664D38"/>
    <w:rsid w:val="00674EB9"/>
    <w:rsid w:val="00675881"/>
    <w:rsid w:val="00676EB1"/>
    <w:rsid w:val="00686D16"/>
    <w:rsid w:val="00686DDE"/>
    <w:rsid w:val="00691087"/>
    <w:rsid w:val="006A0C99"/>
    <w:rsid w:val="006A2F26"/>
    <w:rsid w:val="006A4E33"/>
    <w:rsid w:val="006A79D6"/>
    <w:rsid w:val="006A7B3D"/>
    <w:rsid w:val="006B0534"/>
    <w:rsid w:val="006B1659"/>
    <w:rsid w:val="006B270F"/>
    <w:rsid w:val="006B50A7"/>
    <w:rsid w:val="006C199C"/>
    <w:rsid w:val="006C325F"/>
    <w:rsid w:val="006C5940"/>
    <w:rsid w:val="006C5AAA"/>
    <w:rsid w:val="006C6B58"/>
    <w:rsid w:val="006D186E"/>
    <w:rsid w:val="006D4796"/>
    <w:rsid w:val="006D72CC"/>
    <w:rsid w:val="006E5F3D"/>
    <w:rsid w:val="006F5BEC"/>
    <w:rsid w:val="0070074B"/>
    <w:rsid w:val="00700E7E"/>
    <w:rsid w:val="00704874"/>
    <w:rsid w:val="00715526"/>
    <w:rsid w:val="00715871"/>
    <w:rsid w:val="00721BBD"/>
    <w:rsid w:val="00721BBE"/>
    <w:rsid w:val="007269BD"/>
    <w:rsid w:val="00733092"/>
    <w:rsid w:val="007338CD"/>
    <w:rsid w:val="00733EAD"/>
    <w:rsid w:val="0074348A"/>
    <w:rsid w:val="007459C9"/>
    <w:rsid w:val="0074764E"/>
    <w:rsid w:val="00753568"/>
    <w:rsid w:val="007558C2"/>
    <w:rsid w:val="007647E0"/>
    <w:rsid w:val="00772B8D"/>
    <w:rsid w:val="00775DA7"/>
    <w:rsid w:val="00777CDC"/>
    <w:rsid w:val="0078108E"/>
    <w:rsid w:val="00785227"/>
    <w:rsid w:val="007A054C"/>
    <w:rsid w:val="007A3898"/>
    <w:rsid w:val="007A6E7C"/>
    <w:rsid w:val="007B0169"/>
    <w:rsid w:val="007B15BB"/>
    <w:rsid w:val="007B2DEC"/>
    <w:rsid w:val="007B4801"/>
    <w:rsid w:val="007B7F3F"/>
    <w:rsid w:val="007C22F1"/>
    <w:rsid w:val="007C56DA"/>
    <w:rsid w:val="007D052E"/>
    <w:rsid w:val="007D5EBD"/>
    <w:rsid w:val="007D6C94"/>
    <w:rsid w:val="007D7655"/>
    <w:rsid w:val="007E143C"/>
    <w:rsid w:val="007E71DE"/>
    <w:rsid w:val="007E7386"/>
    <w:rsid w:val="00807A8D"/>
    <w:rsid w:val="00815D72"/>
    <w:rsid w:val="0081685E"/>
    <w:rsid w:val="00821574"/>
    <w:rsid w:val="0082432D"/>
    <w:rsid w:val="0082727F"/>
    <w:rsid w:val="0082772B"/>
    <w:rsid w:val="00833D93"/>
    <w:rsid w:val="008364B1"/>
    <w:rsid w:val="00841D75"/>
    <w:rsid w:val="0085554A"/>
    <w:rsid w:val="00856087"/>
    <w:rsid w:val="00860F28"/>
    <w:rsid w:val="0086145B"/>
    <w:rsid w:val="00864727"/>
    <w:rsid w:val="00864814"/>
    <w:rsid w:val="0086497B"/>
    <w:rsid w:val="008712D5"/>
    <w:rsid w:val="00874D52"/>
    <w:rsid w:val="00880095"/>
    <w:rsid w:val="008813AF"/>
    <w:rsid w:val="00884A92"/>
    <w:rsid w:val="00887EF4"/>
    <w:rsid w:val="00890FCC"/>
    <w:rsid w:val="008920F4"/>
    <w:rsid w:val="008A0382"/>
    <w:rsid w:val="008A1769"/>
    <w:rsid w:val="008A2CD1"/>
    <w:rsid w:val="008A38C6"/>
    <w:rsid w:val="008A3F27"/>
    <w:rsid w:val="008A4852"/>
    <w:rsid w:val="008B3990"/>
    <w:rsid w:val="008B7C3C"/>
    <w:rsid w:val="008C5EBD"/>
    <w:rsid w:val="008D17EE"/>
    <w:rsid w:val="008D253B"/>
    <w:rsid w:val="008D39E8"/>
    <w:rsid w:val="008D4EE5"/>
    <w:rsid w:val="008E5647"/>
    <w:rsid w:val="008F1B32"/>
    <w:rsid w:val="008F30A8"/>
    <w:rsid w:val="008F5CE3"/>
    <w:rsid w:val="00901493"/>
    <w:rsid w:val="00901E0E"/>
    <w:rsid w:val="009044B3"/>
    <w:rsid w:val="009130A1"/>
    <w:rsid w:val="00916D7D"/>
    <w:rsid w:val="009244EE"/>
    <w:rsid w:val="00924AE4"/>
    <w:rsid w:val="00930829"/>
    <w:rsid w:val="009314DE"/>
    <w:rsid w:val="00932950"/>
    <w:rsid w:val="00933561"/>
    <w:rsid w:val="0093792D"/>
    <w:rsid w:val="00943004"/>
    <w:rsid w:val="009432F4"/>
    <w:rsid w:val="009442D8"/>
    <w:rsid w:val="009473D9"/>
    <w:rsid w:val="00951653"/>
    <w:rsid w:val="00964FF2"/>
    <w:rsid w:val="0096528B"/>
    <w:rsid w:val="00966F8D"/>
    <w:rsid w:val="00970BBB"/>
    <w:rsid w:val="00974197"/>
    <w:rsid w:val="00980387"/>
    <w:rsid w:val="00985028"/>
    <w:rsid w:val="009862A4"/>
    <w:rsid w:val="00994586"/>
    <w:rsid w:val="00997566"/>
    <w:rsid w:val="00997C46"/>
    <w:rsid w:val="009A1622"/>
    <w:rsid w:val="009A46C3"/>
    <w:rsid w:val="009A4715"/>
    <w:rsid w:val="009B3970"/>
    <w:rsid w:val="009B3C5E"/>
    <w:rsid w:val="009C093D"/>
    <w:rsid w:val="009C2854"/>
    <w:rsid w:val="009D0A20"/>
    <w:rsid w:val="009D5A4C"/>
    <w:rsid w:val="009E11DC"/>
    <w:rsid w:val="009E485C"/>
    <w:rsid w:val="009E55BE"/>
    <w:rsid w:val="009E5642"/>
    <w:rsid w:val="009F209D"/>
    <w:rsid w:val="009F3CD3"/>
    <w:rsid w:val="009F3EF3"/>
    <w:rsid w:val="009F6E2D"/>
    <w:rsid w:val="00A00425"/>
    <w:rsid w:val="00A01B80"/>
    <w:rsid w:val="00A06166"/>
    <w:rsid w:val="00A079DA"/>
    <w:rsid w:val="00A113CC"/>
    <w:rsid w:val="00A11A7E"/>
    <w:rsid w:val="00A13DED"/>
    <w:rsid w:val="00A140E4"/>
    <w:rsid w:val="00A1556F"/>
    <w:rsid w:val="00A16028"/>
    <w:rsid w:val="00A160EB"/>
    <w:rsid w:val="00A252B0"/>
    <w:rsid w:val="00A30135"/>
    <w:rsid w:val="00A32B19"/>
    <w:rsid w:val="00A40576"/>
    <w:rsid w:val="00A44262"/>
    <w:rsid w:val="00A45BA1"/>
    <w:rsid w:val="00A45FF6"/>
    <w:rsid w:val="00A46748"/>
    <w:rsid w:val="00A5058F"/>
    <w:rsid w:val="00A529A1"/>
    <w:rsid w:val="00A539A1"/>
    <w:rsid w:val="00A55C77"/>
    <w:rsid w:val="00A611A0"/>
    <w:rsid w:val="00A62517"/>
    <w:rsid w:val="00A64555"/>
    <w:rsid w:val="00A65A5E"/>
    <w:rsid w:val="00A675BC"/>
    <w:rsid w:val="00A7125B"/>
    <w:rsid w:val="00A71B8C"/>
    <w:rsid w:val="00A8399A"/>
    <w:rsid w:val="00A843CB"/>
    <w:rsid w:val="00A845E7"/>
    <w:rsid w:val="00A932F5"/>
    <w:rsid w:val="00A9467A"/>
    <w:rsid w:val="00A97C80"/>
    <w:rsid w:val="00AA253D"/>
    <w:rsid w:val="00AA349C"/>
    <w:rsid w:val="00AA642D"/>
    <w:rsid w:val="00AB3B62"/>
    <w:rsid w:val="00AB5B95"/>
    <w:rsid w:val="00AB7040"/>
    <w:rsid w:val="00AD0091"/>
    <w:rsid w:val="00AE02A0"/>
    <w:rsid w:val="00AE1F60"/>
    <w:rsid w:val="00AE26FA"/>
    <w:rsid w:val="00AE29C9"/>
    <w:rsid w:val="00AE343B"/>
    <w:rsid w:val="00AE5976"/>
    <w:rsid w:val="00AF0E5F"/>
    <w:rsid w:val="00B057C4"/>
    <w:rsid w:val="00B06256"/>
    <w:rsid w:val="00B156D1"/>
    <w:rsid w:val="00B16645"/>
    <w:rsid w:val="00B20342"/>
    <w:rsid w:val="00B24D5B"/>
    <w:rsid w:val="00B26450"/>
    <w:rsid w:val="00B375FD"/>
    <w:rsid w:val="00B51763"/>
    <w:rsid w:val="00B706BD"/>
    <w:rsid w:val="00B721A1"/>
    <w:rsid w:val="00B7243D"/>
    <w:rsid w:val="00B72772"/>
    <w:rsid w:val="00B74B04"/>
    <w:rsid w:val="00B810F2"/>
    <w:rsid w:val="00B8503F"/>
    <w:rsid w:val="00B87873"/>
    <w:rsid w:val="00B91130"/>
    <w:rsid w:val="00B91C32"/>
    <w:rsid w:val="00BA3AD3"/>
    <w:rsid w:val="00BA7F42"/>
    <w:rsid w:val="00BB02BF"/>
    <w:rsid w:val="00BC0467"/>
    <w:rsid w:val="00BC5252"/>
    <w:rsid w:val="00BC7BA0"/>
    <w:rsid w:val="00BD6C9F"/>
    <w:rsid w:val="00BE11BD"/>
    <w:rsid w:val="00BE4879"/>
    <w:rsid w:val="00BE55BF"/>
    <w:rsid w:val="00BE75D2"/>
    <w:rsid w:val="00BF647C"/>
    <w:rsid w:val="00C004CD"/>
    <w:rsid w:val="00C0696D"/>
    <w:rsid w:val="00C10F59"/>
    <w:rsid w:val="00C114CC"/>
    <w:rsid w:val="00C16024"/>
    <w:rsid w:val="00C22762"/>
    <w:rsid w:val="00C22B04"/>
    <w:rsid w:val="00C23DBD"/>
    <w:rsid w:val="00C25B4B"/>
    <w:rsid w:val="00C26B8C"/>
    <w:rsid w:val="00C32C0E"/>
    <w:rsid w:val="00C34C34"/>
    <w:rsid w:val="00C471F0"/>
    <w:rsid w:val="00C5075E"/>
    <w:rsid w:val="00C528EC"/>
    <w:rsid w:val="00C57CE7"/>
    <w:rsid w:val="00C622E2"/>
    <w:rsid w:val="00C647A4"/>
    <w:rsid w:val="00C744DD"/>
    <w:rsid w:val="00C809A2"/>
    <w:rsid w:val="00C83DE6"/>
    <w:rsid w:val="00C87B22"/>
    <w:rsid w:val="00C90B89"/>
    <w:rsid w:val="00CA27CB"/>
    <w:rsid w:val="00CA6D24"/>
    <w:rsid w:val="00CA70D2"/>
    <w:rsid w:val="00CB3260"/>
    <w:rsid w:val="00CB3BEC"/>
    <w:rsid w:val="00CC323F"/>
    <w:rsid w:val="00CC3A71"/>
    <w:rsid w:val="00CC61B4"/>
    <w:rsid w:val="00CD20CC"/>
    <w:rsid w:val="00CE0F9F"/>
    <w:rsid w:val="00CE32EE"/>
    <w:rsid w:val="00CE444E"/>
    <w:rsid w:val="00CE6A32"/>
    <w:rsid w:val="00CF640C"/>
    <w:rsid w:val="00D01C3B"/>
    <w:rsid w:val="00D119EF"/>
    <w:rsid w:val="00D125BA"/>
    <w:rsid w:val="00D17139"/>
    <w:rsid w:val="00D2057E"/>
    <w:rsid w:val="00D22B01"/>
    <w:rsid w:val="00D31011"/>
    <w:rsid w:val="00D33DDB"/>
    <w:rsid w:val="00D37F8A"/>
    <w:rsid w:val="00D4051C"/>
    <w:rsid w:val="00D4618C"/>
    <w:rsid w:val="00D5269C"/>
    <w:rsid w:val="00D53E42"/>
    <w:rsid w:val="00D564A1"/>
    <w:rsid w:val="00D578B7"/>
    <w:rsid w:val="00D60FD7"/>
    <w:rsid w:val="00D64FDD"/>
    <w:rsid w:val="00D65710"/>
    <w:rsid w:val="00D678DC"/>
    <w:rsid w:val="00D7041C"/>
    <w:rsid w:val="00D714E4"/>
    <w:rsid w:val="00D749AA"/>
    <w:rsid w:val="00D76089"/>
    <w:rsid w:val="00D85C00"/>
    <w:rsid w:val="00D902C2"/>
    <w:rsid w:val="00D90985"/>
    <w:rsid w:val="00D92B13"/>
    <w:rsid w:val="00D95A85"/>
    <w:rsid w:val="00D97D11"/>
    <w:rsid w:val="00DA1422"/>
    <w:rsid w:val="00DB1D61"/>
    <w:rsid w:val="00DC4682"/>
    <w:rsid w:val="00DC5261"/>
    <w:rsid w:val="00DC5279"/>
    <w:rsid w:val="00DD1002"/>
    <w:rsid w:val="00DE0292"/>
    <w:rsid w:val="00DE05A4"/>
    <w:rsid w:val="00DE1D5B"/>
    <w:rsid w:val="00DE38A2"/>
    <w:rsid w:val="00DF6C42"/>
    <w:rsid w:val="00E03274"/>
    <w:rsid w:val="00E04297"/>
    <w:rsid w:val="00E06DB0"/>
    <w:rsid w:val="00E070C7"/>
    <w:rsid w:val="00E111D6"/>
    <w:rsid w:val="00E14DA3"/>
    <w:rsid w:val="00E15EBF"/>
    <w:rsid w:val="00E21A84"/>
    <w:rsid w:val="00E229E6"/>
    <w:rsid w:val="00E25606"/>
    <w:rsid w:val="00E276AD"/>
    <w:rsid w:val="00E306CA"/>
    <w:rsid w:val="00E331C9"/>
    <w:rsid w:val="00E36D31"/>
    <w:rsid w:val="00E40689"/>
    <w:rsid w:val="00E4188A"/>
    <w:rsid w:val="00E52239"/>
    <w:rsid w:val="00E61181"/>
    <w:rsid w:val="00E641F6"/>
    <w:rsid w:val="00E643DF"/>
    <w:rsid w:val="00E66320"/>
    <w:rsid w:val="00E70642"/>
    <w:rsid w:val="00E720EC"/>
    <w:rsid w:val="00E725D1"/>
    <w:rsid w:val="00E72A0E"/>
    <w:rsid w:val="00E80761"/>
    <w:rsid w:val="00E833CC"/>
    <w:rsid w:val="00E86E0F"/>
    <w:rsid w:val="00E91916"/>
    <w:rsid w:val="00E91ADA"/>
    <w:rsid w:val="00E94BC2"/>
    <w:rsid w:val="00E9640F"/>
    <w:rsid w:val="00E97567"/>
    <w:rsid w:val="00EA0252"/>
    <w:rsid w:val="00EA36B9"/>
    <w:rsid w:val="00EA3D74"/>
    <w:rsid w:val="00EA400C"/>
    <w:rsid w:val="00EA5246"/>
    <w:rsid w:val="00EB071F"/>
    <w:rsid w:val="00EB0DB9"/>
    <w:rsid w:val="00EB6FAC"/>
    <w:rsid w:val="00EC2CC7"/>
    <w:rsid w:val="00EC2EDD"/>
    <w:rsid w:val="00EC4414"/>
    <w:rsid w:val="00ED1090"/>
    <w:rsid w:val="00ED2EF8"/>
    <w:rsid w:val="00ED3B8D"/>
    <w:rsid w:val="00ED4C47"/>
    <w:rsid w:val="00EE6C1D"/>
    <w:rsid w:val="00EF07DC"/>
    <w:rsid w:val="00EF133C"/>
    <w:rsid w:val="00F006D7"/>
    <w:rsid w:val="00F052BE"/>
    <w:rsid w:val="00F134D4"/>
    <w:rsid w:val="00F23337"/>
    <w:rsid w:val="00F260E3"/>
    <w:rsid w:val="00F277B6"/>
    <w:rsid w:val="00F31407"/>
    <w:rsid w:val="00F420E2"/>
    <w:rsid w:val="00F422A9"/>
    <w:rsid w:val="00F47BA7"/>
    <w:rsid w:val="00F52B3E"/>
    <w:rsid w:val="00F5471B"/>
    <w:rsid w:val="00F62633"/>
    <w:rsid w:val="00F63567"/>
    <w:rsid w:val="00F6553B"/>
    <w:rsid w:val="00F66883"/>
    <w:rsid w:val="00F676E2"/>
    <w:rsid w:val="00F74915"/>
    <w:rsid w:val="00F7651B"/>
    <w:rsid w:val="00F81EBA"/>
    <w:rsid w:val="00F820B6"/>
    <w:rsid w:val="00F9062C"/>
    <w:rsid w:val="00F954BA"/>
    <w:rsid w:val="00F96980"/>
    <w:rsid w:val="00FA08FB"/>
    <w:rsid w:val="00FA1194"/>
    <w:rsid w:val="00FA1451"/>
    <w:rsid w:val="00FA6B4F"/>
    <w:rsid w:val="00FA7CFF"/>
    <w:rsid w:val="00FB4590"/>
    <w:rsid w:val="00FB6D3B"/>
    <w:rsid w:val="00FC0348"/>
    <w:rsid w:val="00FC0763"/>
    <w:rsid w:val="00FC7D2D"/>
    <w:rsid w:val="00FD2391"/>
    <w:rsid w:val="00FD38B1"/>
    <w:rsid w:val="00FD60DA"/>
    <w:rsid w:val="00FD745B"/>
    <w:rsid w:val="00FD7691"/>
    <w:rsid w:val="00FE029B"/>
    <w:rsid w:val="00FE138D"/>
    <w:rsid w:val="00FE2C5E"/>
    <w:rsid w:val="00FE5220"/>
    <w:rsid w:val="0AFE753F"/>
    <w:rsid w:val="0FC9647B"/>
    <w:rsid w:val="4C121288"/>
    <w:rsid w:val="58A14BD6"/>
    <w:rsid w:val="590D3D87"/>
    <w:rsid w:val="7C7506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81B9057"/>
  <w15:docId w15:val="{CC82B62A-4096-44F7-92D6-5105A81C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unhideWhenUsed="1" w:qFormat="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ndnoteReference">
    <w:name w:val="endnote reference"/>
    <w:basedOn w:val="DefaultParagraphFont"/>
    <w:uiPriority w:val="99"/>
    <w:unhideWhenUsed/>
    <w:qFormat/>
    <w:rPr>
      <w:vertAlign w:val="superscript"/>
    </w:rPr>
  </w:style>
  <w:style w:type="paragraph" w:styleId="EndnoteText">
    <w:name w:val="endnote text"/>
    <w:basedOn w:val="Normal"/>
    <w:link w:val="EndnoteTextChar"/>
    <w:uiPriority w:val="99"/>
    <w:unhideWhenUsed/>
    <w:pPr>
      <w:spacing w:after="0" w:line="240" w:lineRule="auto"/>
    </w:pPr>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rPr>
      <w:rFonts w:ascii="Arial" w:hAnsi="Arial" w:cs="Times New Roman"/>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2">
    <w:name w:val="Medium Shading 2 Accent 2"/>
    <w:basedOn w:val="TableNormal"/>
    <w:uiPriority w:val="64"/>
    <w:rPr>
      <w:rFonts w:ascii="Times New Roman" w:eastAsia="Times New Roman" w:hAnsi="Times New Roman" w:cs="Times New Roman"/>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alloonTextChar">
    <w:name w:val="Balloon Text Char"/>
    <w:basedOn w:val="DefaultParagraphFont"/>
    <w:rPr>
      <w:rFonts w:ascii="Lucida Grande" w:hAnsi="Lucida Grande" w:cs="Lucida Grande"/>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1">
    <w:name w:val="Balloon Text Char1"/>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uiPriority w:val="99"/>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Spacing1">
    <w:name w:val="No Spacing1"/>
    <w:basedOn w:val="Normal"/>
    <w:uiPriority w:val="1"/>
    <w:qFormat/>
    <w:pPr>
      <w:spacing w:after="0" w:line="240" w:lineRule="auto"/>
    </w:pPr>
    <w:rPr>
      <w:rFonts w:ascii="Calibri" w:eastAsia="Calibri" w:hAnsi="Calibri" w:cs="Times New Roman"/>
      <w:lang w:bidi="en-US"/>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NoSpacing">
    <w:name w:val="No Spacing"/>
    <w:link w:val="NoSpacingChar"/>
    <w:uiPriority w:val="1"/>
    <w:qFormat/>
    <w:rPr>
      <w:rFonts w:eastAsiaTheme="minorHAnsi"/>
      <w:sz w:val="22"/>
      <w:szCs w:val="22"/>
    </w:rPr>
  </w:style>
  <w:style w:type="character" w:customStyle="1" w:styleId="A1">
    <w:name w:val="A1"/>
    <w:uiPriority w:val="99"/>
    <w:rPr>
      <w:rFonts w:cs="Giovanni Book"/>
      <w:color w:val="808284"/>
      <w:sz w:val="52"/>
      <w:szCs w:val="52"/>
    </w:rPr>
  </w:style>
  <w:style w:type="character" w:customStyle="1" w:styleId="EndnoteTextChar">
    <w:name w:val="Endnote Text Char"/>
    <w:basedOn w:val="DefaultParagraphFont"/>
    <w:link w:val="EndnoteText"/>
    <w:uiPriority w:val="99"/>
    <w:rPr>
      <w:rFonts w:eastAsia="Times New Roman" w:cs="Times New Roman"/>
      <w:sz w:val="24"/>
      <w:szCs w:val="24"/>
    </w:rPr>
  </w:style>
  <w:style w:type="character" w:customStyle="1" w:styleId="NoSpacingChar">
    <w:name w:val="No Spacing Char"/>
    <w:basedOn w:val="DefaultParagraphFont"/>
    <w:link w:val="NoSpacing"/>
    <w:uiPriority w:val="1"/>
    <w:qFormat/>
    <w:rPr>
      <w:rFonts w:eastAsiaTheme="minorHAnsi"/>
    </w:rPr>
  </w:style>
  <w:style w:type="character" w:customStyle="1" w:styleId="ListParagraphChar">
    <w:name w:val="List Paragraph Char"/>
    <w:basedOn w:val="DefaultParagraphFont"/>
    <w:link w:val="ListParagraph"/>
    <w:uiPriority w:val="34"/>
    <w:qFormat/>
  </w:style>
  <w:style w:type="table" w:customStyle="1" w:styleId="TableGrid1">
    <w:name w:val="Table Grid1"/>
    <w:basedOn w:val="TableNormal"/>
    <w:uiPriority w:val="3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1459">
      <w:bodyDiv w:val="1"/>
      <w:marLeft w:val="0"/>
      <w:marRight w:val="0"/>
      <w:marTop w:val="0"/>
      <w:marBottom w:val="0"/>
      <w:divBdr>
        <w:top w:val="none" w:sz="0" w:space="0" w:color="auto"/>
        <w:left w:val="none" w:sz="0" w:space="0" w:color="auto"/>
        <w:bottom w:val="none" w:sz="0" w:space="0" w:color="auto"/>
        <w:right w:val="none" w:sz="0" w:space="0" w:color="auto"/>
      </w:divBdr>
    </w:div>
    <w:div w:id="1795128040">
      <w:bodyDiv w:val="1"/>
      <w:marLeft w:val="0"/>
      <w:marRight w:val="0"/>
      <w:marTop w:val="0"/>
      <w:marBottom w:val="0"/>
      <w:divBdr>
        <w:top w:val="none" w:sz="0" w:space="0" w:color="auto"/>
        <w:left w:val="none" w:sz="0" w:space="0" w:color="auto"/>
        <w:bottom w:val="none" w:sz="0" w:space="0" w:color="auto"/>
        <w:right w:val="none" w:sz="0" w:space="0" w:color="auto"/>
      </w:divBdr>
    </w:div>
    <w:div w:id="2060592081">
      <w:bodyDiv w:val="1"/>
      <w:marLeft w:val="0"/>
      <w:marRight w:val="0"/>
      <w:marTop w:val="0"/>
      <w:marBottom w:val="0"/>
      <w:divBdr>
        <w:top w:val="none" w:sz="0" w:space="0" w:color="auto"/>
        <w:left w:val="none" w:sz="0" w:space="0" w:color="auto"/>
        <w:bottom w:val="none" w:sz="0" w:space="0" w:color="auto"/>
        <w:right w:val="none" w:sz="0" w:space="0" w:color="auto"/>
      </w:divBdr>
    </w:div>
    <w:div w:id="2085685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mmarosz/Desktop/GoGoGo/MC_NEW_BRAND/11.%2520Final%2520Logo%2520Files/Horizontal/Digital/MCbrand_Logo_Horizontal_PMS_186_PC.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17B5121-285E-44EF-B00E-693EDABE7F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7065</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Hokans</dc:creator>
  <cp:keywords/>
  <dc:description/>
  <cp:lastModifiedBy>Lydia Wafula</cp:lastModifiedBy>
  <cp:revision>2</cp:revision>
  <cp:lastPrinted>2015-06-01T00:13:00Z</cp:lastPrinted>
  <dcterms:created xsi:type="dcterms:W3CDTF">2025-11-10T14:42:00Z</dcterms:created>
  <dcterms:modified xsi:type="dcterms:W3CDTF">2025-11-10T14:42:00Z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49786CD7E25E433986A0E438A63BAE34_13</vt:lpwstr>
  </property>
  <property fmtid="{D5CDD505-2E9C-101B-9397-08002B2CF9AE}" pid="4" name="GrammarlyDocumentId">
    <vt:lpwstr>294f80771d8ca535796a65ec3e12374dc6cbe6d92959bbf5aa1b76ecb044c30d</vt:lpwstr>
  </property>
</Properties>
</file>