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A520" w14:textId="77777777" w:rsidR="00EC5FD4" w:rsidRDefault="004B169F">
      <w:pPr>
        <w:spacing w:after="360"/>
        <w:jc w:val="center"/>
        <w:rPr>
          <w:b/>
          <w:sz w:val="28"/>
          <w:szCs w:val="28"/>
        </w:rPr>
      </w:pPr>
      <w:bookmarkStart w:id="0" w:name="_heading=h.gjdgxs" w:colFirst="0" w:colLast="0"/>
      <w:bookmarkEnd w:id="0"/>
      <w:r>
        <w:rPr>
          <w:b/>
          <w:sz w:val="28"/>
          <w:szCs w:val="28"/>
        </w:rPr>
        <w:t xml:space="preserve">Scope of Work </w:t>
      </w:r>
    </w:p>
    <w:p w14:paraId="1C57B1F7" w14:textId="77777777" w:rsidR="00EC5FD4" w:rsidRDefault="004B169F">
      <w:pPr>
        <w:spacing w:after="0"/>
        <w:jc w:val="both"/>
      </w:pPr>
      <w:r>
        <w:rPr>
          <w:b/>
        </w:rPr>
        <w:t>Consultant:</w:t>
      </w:r>
      <w:r>
        <w:rPr>
          <w:b/>
        </w:rPr>
        <w:tab/>
      </w:r>
      <w:r>
        <w:rPr>
          <w:b/>
        </w:rPr>
        <w:tab/>
      </w:r>
      <w:r>
        <w:t>Individual</w:t>
      </w:r>
    </w:p>
    <w:p w14:paraId="6B531570" w14:textId="77777777" w:rsidR="00EC5FD4" w:rsidRDefault="004B169F">
      <w:pPr>
        <w:spacing w:after="0"/>
        <w:ind w:left="2160" w:hanging="2160"/>
        <w:jc w:val="both"/>
      </w:pPr>
      <w:r>
        <w:rPr>
          <w:b/>
        </w:rPr>
        <w:t>Program:</w:t>
      </w:r>
      <w:r>
        <w:t xml:space="preserve">  </w:t>
      </w:r>
      <w:r>
        <w:tab/>
        <w:t xml:space="preserve">ADF II/ GIZ DAA/ OKTA </w:t>
      </w:r>
    </w:p>
    <w:p w14:paraId="6D6A592E" w14:textId="77777777" w:rsidR="00EC5FD4" w:rsidRDefault="004B169F">
      <w:pPr>
        <w:spacing w:after="0" w:line="240" w:lineRule="auto"/>
        <w:ind w:left="2160" w:hanging="2160"/>
        <w:jc w:val="both"/>
      </w:pPr>
      <w:r>
        <w:rPr>
          <w:b/>
        </w:rPr>
        <w:t>Scope of Project:</w:t>
      </w:r>
      <w:r>
        <w:rPr>
          <w:b/>
        </w:rPr>
        <w:tab/>
      </w:r>
      <w:r>
        <w:t>Sprout Digital Content Consultant</w:t>
      </w:r>
    </w:p>
    <w:p w14:paraId="23EC1E57" w14:textId="77777777" w:rsidR="00EC5FD4" w:rsidRDefault="004B169F">
      <w:pPr>
        <w:spacing w:after="0" w:line="240" w:lineRule="auto"/>
        <w:jc w:val="both"/>
      </w:pPr>
      <w:r>
        <w:rPr>
          <w:b/>
        </w:rPr>
        <w:t>Country:</w:t>
      </w:r>
      <w:r>
        <w:tab/>
      </w:r>
      <w:r>
        <w:tab/>
        <w:t>Kenya</w:t>
      </w:r>
    </w:p>
    <w:p w14:paraId="3454C759" w14:textId="77777777" w:rsidR="00EC5FD4" w:rsidRDefault="004B169F">
      <w:pPr>
        <w:spacing w:after="0" w:line="240" w:lineRule="auto"/>
        <w:jc w:val="both"/>
      </w:pPr>
      <w:r>
        <w:rPr>
          <w:b/>
        </w:rPr>
        <w:t>From:</w:t>
      </w:r>
      <w:r>
        <w:rPr>
          <w:b/>
        </w:rPr>
        <w:tab/>
      </w:r>
      <w:r>
        <w:rPr>
          <w:b/>
        </w:rPr>
        <w:tab/>
      </w:r>
      <w:r>
        <w:rPr>
          <w:b/>
        </w:rPr>
        <w:tab/>
      </w:r>
      <w:r>
        <w:t>21 Feb 2022</w:t>
      </w:r>
    </w:p>
    <w:p w14:paraId="33706FB5" w14:textId="77777777" w:rsidR="00EC5FD4" w:rsidRDefault="004B169F">
      <w:pPr>
        <w:spacing w:after="0" w:line="240" w:lineRule="auto"/>
      </w:pPr>
      <w:r>
        <w:rPr>
          <w:b/>
        </w:rPr>
        <w:t>To:</w:t>
      </w:r>
      <w:r>
        <w:rPr>
          <w:b/>
        </w:rPr>
        <w:tab/>
      </w:r>
      <w:r>
        <w:tab/>
      </w:r>
      <w:r>
        <w:tab/>
        <w:t>28 Feb 2024</w:t>
      </w:r>
    </w:p>
    <w:p w14:paraId="7B7A4C71" w14:textId="77777777" w:rsidR="00EC5FD4" w:rsidRDefault="004B169F">
      <w:pPr>
        <w:spacing w:after="0" w:line="240" w:lineRule="auto"/>
        <w:ind w:left="2160" w:hanging="2160"/>
        <w:jc w:val="both"/>
      </w:pPr>
      <w:r>
        <w:rPr>
          <w:b/>
        </w:rPr>
        <w:t>Task Manager:</w:t>
      </w:r>
      <w:r>
        <w:rPr>
          <w:b/>
        </w:rPr>
        <w:tab/>
      </w:r>
      <w:r>
        <w:t>Global Climate Technology Lead</w:t>
      </w:r>
    </w:p>
    <w:p w14:paraId="1DD37527" w14:textId="77777777" w:rsidR="00EC5FD4" w:rsidRDefault="00EC5FD4">
      <w:pPr>
        <w:spacing w:after="0" w:line="240" w:lineRule="auto"/>
        <w:jc w:val="both"/>
      </w:pPr>
    </w:p>
    <w:p w14:paraId="5442146F" w14:textId="77777777" w:rsidR="00EC5FD4" w:rsidRDefault="004B169F">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p w14:paraId="0616DA2B" w14:textId="77777777" w:rsidR="00EC5FD4" w:rsidRDefault="004B169F">
      <w:pPr>
        <w:pBdr>
          <w:top w:val="nil"/>
          <w:left w:val="nil"/>
          <w:bottom w:val="nil"/>
          <w:right w:val="nil"/>
          <w:between w:val="nil"/>
        </w:pBdr>
        <w:spacing w:after="120" w:line="240" w:lineRule="auto"/>
        <w:jc w:val="both"/>
        <w:rPr>
          <w:color w:val="000000"/>
        </w:rPr>
      </w:pPr>
      <w:r>
        <w:rPr>
          <w:color w:val="000000"/>
        </w:rPr>
        <w:t>Nearly one and a half billion poor people live on less than US$1.25 a day. One billion of them live in rural areas where agriculture is their main source of livelihood</w:t>
      </w:r>
      <w:r>
        <w:rPr>
          <w:color w:val="000000"/>
          <w:vertAlign w:val="superscript"/>
        </w:rPr>
        <w:footnoteReference w:id="1"/>
      </w:r>
      <w:r>
        <w:rPr>
          <w:color w:val="000000"/>
        </w:rPr>
        <w:t>. An estimated 70 million Small Holder Farmers (SHF) live in Sub Saharan Africa, over h</w:t>
      </w:r>
      <w:r>
        <w:rPr>
          <w:color w:val="000000"/>
        </w:rPr>
        <w:t>alf of whom are women</w:t>
      </w:r>
      <w:r>
        <w:rPr>
          <w:color w:val="000000"/>
          <w:vertAlign w:val="superscript"/>
        </w:rPr>
        <w:footnoteReference w:id="2"/>
      </w:r>
      <w:r>
        <w:rPr>
          <w:color w:val="000000"/>
        </w:rPr>
        <w:t>. Smallholders, who typically farm two hectares or less, provide over 80% of the food consumed in a large part of the developing world, contributing significantly to poverty reduction and food security</w:t>
      </w:r>
      <w:r>
        <w:rPr>
          <w:color w:val="000000"/>
          <w:vertAlign w:val="superscript"/>
        </w:rPr>
        <w:footnoteReference w:id="3"/>
      </w:r>
      <w:r>
        <w:rPr>
          <w:color w:val="000000"/>
        </w:rPr>
        <w:t>. However, increasing fragment</w:t>
      </w:r>
      <w:r>
        <w:rPr>
          <w:color w:val="000000"/>
        </w:rPr>
        <w:t xml:space="preserve">ation of landholdings, especially in infrastructure, coupled with reduced investment support, growing competition for land and water, rising input prices and climate change threaten this contribution, leaving many smallholders increasingly vulnerable. </w:t>
      </w:r>
      <w:r>
        <w:rPr>
          <w:noProof/>
        </w:rPr>
        <mc:AlternateContent>
          <mc:Choice Requires="wps">
            <w:drawing>
              <wp:anchor distT="0" distB="0" distL="114300" distR="114300" simplePos="0" relativeHeight="251658240" behindDoc="0" locked="0" layoutInCell="1" hidden="0" allowOverlap="1" wp14:anchorId="4155A1C8" wp14:editId="0D2C454F">
                <wp:simplePos x="0" y="0"/>
                <wp:positionH relativeFrom="column">
                  <wp:posOffset>3594100</wp:posOffset>
                </wp:positionH>
                <wp:positionV relativeFrom="paragraph">
                  <wp:posOffset>723900</wp:posOffset>
                </wp:positionV>
                <wp:extent cx="2335530" cy="1443355"/>
                <wp:effectExtent l="0" t="0" r="0" b="0"/>
                <wp:wrapSquare wrapText="bothSides" distT="0" distB="0" distL="114300" distR="114300"/>
                <wp:docPr id="312" name="Rectangle 312"/>
                <wp:cNvGraphicFramePr/>
                <a:graphic xmlns:a="http://schemas.openxmlformats.org/drawingml/2006/main">
                  <a:graphicData uri="http://schemas.microsoft.com/office/word/2010/wordprocessingShape">
                    <wps:wsp>
                      <wps:cNvSpPr/>
                      <wps:spPr>
                        <a:xfrm>
                          <a:off x="4192523" y="3072610"/>
                          <a:ext cx="2306955" cy="141478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4153437D" w14:textId="77777777" w:rsidR="00EC5FD4" w:rsidRDefault="004B169F">
                            <w:pPr>
                              <w:spacing w:after="0" w:line="275" w:lineRule="auto"/>
                              <w:jc w:val="center"/>
                              <w:textDirection w:val="btLr"/>
                            </w:pPr>
                            <w:r>
                              <w:rPr>
                                <w:rFonts w:ascii="Times New Roman" w:eastAsia="Times New Roman" w:hAnsi="Times New Roman" w:cs="Times New Roman"/>
                                <w:b/>
                                <w:color w:val="9E1B32"/>
                              </w:rPr>
                              <w:t>Transformational Potential of Agriculture</w:t>
                            </w:r>
                          </w:p>
                          <w:p w14:paraId="3250F4CB" w14:textId="77777777" w:rsidR="00EC5FD4" w:rsidRDefault="004B169F">
                            <w:pPr>
                              <w:spacing w:after="0" w:line="275" w:lineRule="auto"/>
                              <w:jc w:val="both"/>
                              <w:textDirection w:val="btLr"/>
                            </w:pPr>
                            <w:r>
                              <w:rPr>
                                <w:color w:val="000000"/>
                              </w:rPr>
                              <w:t>Agriculture has been found to play a powerful role in poverty reduction, especially when agricultural development has focused on small farms grow. It is estimated that a 1% increase in crop productivity reduces the</w:t>
                            </w:r>
                            <w:r>
                              <w:rPr>
                                <w:color w:val="000000"/>
                              </w:rPr>
                              <w:t xml:space="preserve"> number of poor people by 0.72% in Africa.</w:t>
                            </w:r>
                          </w:p>
                        </w:txbxContent>
                      </wps:txbx>
                      <wps:bodyPr spcFirstLastPara="1" wrap="square" lIns="91425" tIns="45700" rIns="91425" bIns="45700" anchor="t" anchorCtr="0">
                        <a:noAutofit/>
                      </wps:bodyPr>
                    </wps:wsp>
                  </a:graphicData>
                </a:graphic>
              </wp:anchor>
            </w:drawing>
          </mc:Choice>
          <mc:Fallback>
            <w:pict>
              <v:rect w14:anchorId="4155A1C8" id="Rectangle 312" o:spid="_x0000_s1026" style="position:absolute;left:0;text-align:left;margin-left:283pt;margin-top:57pt;width:183.9pt;height:113.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" fillcolor="#f2f2f2">
                <v:stroke startarrowwidth="narrow" startarrowlength="short" endarrowwidth="narrow" endarrowlength="short"/>
                <v:textbox inset="2.53958mm,1.2694mm,2.53958mm,1.2694mm">
                  <w:txbxContent>
                    <w:p w14:paraId="4153437D" w14:textId="77777777" w:rsidR="00EC5FD4" w:rsidRDefault="004B169F">
                      <w:pPr>
                        <w:spacing w:after="0" w:line="275" w:lineRule="auto"/>
                        <w:jc w:val="center"/>
                        <w:textDirection w:val="btLr"/>
                      </w:pPr>
                      <w:r>
                        <w:rPr>
                          <w:rFonts w:ascii="Times New Roman" w:eastAsia="Times New Roman" w:hAnsi="Times New Roman" w:cs="Times New Roman"/>
                          <w:b/>
                          <w:color w:val="9E1B32"/>
                        </w:rPr>
                        <w:t>Transformational Potential of Agriculture</w:t>
                      </w:r>
                    </w:p>
                    <w:p w14:paraId="3250F4CB" w14:textId="77777777" w:rsidR="00EC5FD4" w:rsidRDefault="004B169F">
                      <w:pPr>
                        <w:spacing w:after="0" w:line="275" w:lineRule="auto"/>
                        <w:jc w:val="both"/>
                        <w:textDirection w:val="btLr"/>
                      </w:pPr>
                      <w:r>
                        <w:rPr>
                          <w:color w:val="000000"/>
                        </w:rPr>
                        <w:t>Agriculture has been found to play a powerful role in poverty reduction, especially when agricultural development has focused on small farms grow. It is estimated that a 1% increase in crop productivity reduces the</w:t>
                      </w:r>
                      <w:r>
                        <w:rPr>
                          <w:color w:val="000000"/>
                        </w:rPr>
                        <w:t xml:space="preserve"> number of poor people by 0.72% in Africa.</w:t>
                      </w:r>
                    </w:p>
                  </w:txbxContent>
                </v:textbox>
                <w10:wrap type="square"/>
              </v:rect>
            </w:pict>
          </mc:Fallback>
        </mc:AlternateContent>
      </w:r>
    </w:p>
    <w:p w14:paraId="35BC500E" w14:textId="77777777" w:rsidR="00EC5FD4" w:rsidRDefault="004B169F">
      <w:pPr>
        <w:spacing w:after="120" w:line="240" w:lineRule="auto"/>
        <w:jc w:val="both"/>
      </w:pPr>
      <w:r>
        <w:t>Given increasing world populations and demand for food, SHFs occupy an important segment of the global agricultural value chain</w:t>
      </w:r>
      <w:r>
        <w:rPr>
          <w:vertAlign w:val="superscript"/>
        </w:rPr>
        <w:footnoteReference w:id="4"/>
      </w:r>
      <w:r>
        <w:t>. Multinational buyers will increasingly rely on smallholders to secure their supply of commodities and to help satisfy consumer sustainability preferences</w:t>
      </w:r>
      <w:r>
        <w:rPr>
          <w:vertAlign w:val="superscript"/>
        </w:rPr>
        <w:footnoteReference w:id="5"/>
      </w:r>
      <w:r>
        <w:t>. At an estimated $450 billion, the global demand for smallholder agricultural finance is large—and</w:t>
      </w:r>
      <w:r>
        <w:t xml:space="preserve"> largely unmet. Credit provided by informal and formal financial institutions, as well as value chain actors, currently only meets an estimated USD 50 billion of the more than USD 200 billion need for smallholder finance in the regions of sub-Saharan Afric</w:t>
      </w:r>
      <w:r>
        <w:t>a, Latin America, and South and Southeast Asia</w:t>
      </w:r>
      <w:r>
        <w:rPr>
          <w:vertAlign w:val="superscript"/>
        </w:rPr>
        <w:footnoteReference w:id="6"/>
      </w:r>
      <w:r>
        <w:t>. Impact driven smallholder agricultural lenders, such as Root Capital in Kenya and elsewhere, currently satisfy less than two percent of the demand.</w:t>
      </w:r>
      <w:r>
        <w:rPr>
          <w:vertAlign w:val="superscript"/>
        </w:rPr>
        <w:footnoteReference w:id="7"/>
      </w:r>
      <w:r>
        <w:t xml:space="preserve">  The volume and value of savings, </w:t>
      </w:r>
      <w:proofErr w:type="gramStart"/>
      <w:r>
        <w:t>lending</w:t>
      </w:r>
      <w:proofErr w:type="gramEnd"/>
      <w:r>
        <w:t xml:space="preserve"> and payment tr</w:t>
      </w:r>
      <w:r>
        <w:t>ansaction SHFs in most African countries is not specifically measured.</w:t>
      </w:r>
    </w:p>
    <w:p w14:paraId="1457F7EA" w14:textId="77777777" w:rsidR="00EC5FD4" w:rsidRDefault="004B169F">
      <w:pPr>
        <w:spacing w:after="120"/>
        <w:jc w:val="both"/>
      </w:pPr>
      <w:r>
        <w:t>Mobile phones are a powerful tool to access the electronic national retail payments system and enable vast numbers of clients to use a range of financial and informational services at l</w:t>
      </w:r>
      <w:r>
        <w:t xml:space="preserve">ower cost. In agriculture, progressively more services are being delivered via mobile phone and as it was revealed in the 2015 Farmer Benchmark and Payment Study, 92% of the respondents owned at least one mobile phone. </w:t>
      </w:r>
      <w:r>
        <w:lastRenderedPageBreak/>
        <w:t xml:space="preserve">Applications such as </w:t>
      </w:r>
      <w:proofErr w:type="spellStart"/>
      <w:r>
        <w:t>iShamba</w:t>
      </w:r>
      <w:proofErr w:type="spellEnd"/>
      <w:r>
        <w:t xml:space="preserve"> and </w:t>
      </w:r>
      <w:proofErr w:type="spellStart"/>
      <w:r>
        <w:t>Arif</w:t>
      </w:r>
      <w:r>
        <w:t>u</w:t>
      </w:r>
      <w:proofErr w:type="spellEnd"/>
      <w:r>
        <w:t xml:space="preserve"> direct specific, timely information on agricultural production methods to farmers through their mobile phones. Moving beyond one-to-one communication, M-Farm is an Internet- and SMS-based service in Kenya that allows farmers to aggregate; it publishes wh</w:t>
      </w:r>
      <w:r>
        <w:t>olesale price information on 42 crops and provides a platform for smallholders to collectively sell crops and buy inputs, thereby lowering costs and accessing new markets.</w:t>
      </w:r>
    </w:p>
    <w:p w14:paraId="0DCE82C9" w14:textId="77777777" w:rsidR="00EC5FD4" w:rsidRDefault="004B169F">
      <w:pPr>
        <w:spacing w:after="0"/>
      </w:pPr>
      <w:r>
        <w:tab/>
      </w:r>
      <w:r>
        <w:tab/>
      </w:r>
    </w:p>
    <w:p w14:paraId="467C0407" w14:textId="77777777" w:rsidR="00EC5FD4" w:rsidRDefault="004B169F">
      <w:pPr>
        <w:shd w:val="clear" w:color="auto" w:fill="B80000"/>
        <w:spacing w:after="120"/>
        <w:jc w:val="both"/>
        <w:rPr>
          <w:b/>
          <w:color w:val="FFFFFF"/>
        </w:rPr>
      </w:pPr>
      <w:r>
        <w:rPr>
          <w:b/>
          <w:color w:val="FFFFFF"/>
        </w:rPr>
        <w:t>AgriFin Digital Farmer (ADF 2) Program Overview</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1EB3646D" w14:textId="77777777" w:rsidR="00EC5FD4" w:rsidRDefault="004B169F">
      <w:pPr>
        <w:widowControl w:val="0"/>
        <w:spacing w:after="120"/>
        <w:jc w:val="both"/>
      </w:pPr>
      <w:r>
        <w:t xml:space="preserve">AgriFin Digital Farmer II </w:t>
      </w:r>
      <w:r>
        <w:t xml:space="preserve">(ADF 2) currently represents </w:t>
      </w:r>
      <w:r>
        <w:rPr>
          <w:b/>
        </w:rPr>
        <w:t>a $12 million, four-year AgriFin program working</w:t>
      </w:r>
      <w:r>
        <w:t xml:space="preserve"> in </w:t>
      </w:r>
      <w:r>
        <w:rPr>
          <w:b/>
        </w:rPr>
        <w:t xml:space="preserve">Kenya, Tanzania, </w:t>
      </w:r>
      <w:proofErr w:type="gramStart"/>
      <w:r>
        <w:rPr>
          <w:b/>
        </w:rPr>
        <w:t>Ethiopia</w:t>
      </w:r>
      <w:proofErr w:type="gramEnd"/>
      <w:r>
        <w:rPr>
          <w:b/>
        </w:rPr>
        <w:t xml:space="preserve"> and Nigeria</w:t>
      </w:r>
      <w:r>
        <w:t>, with potential to expand to other markets (Uganda, Zambia+). In partnership with Bill and Melinda Gates and Bayer Foundations, ADF 2 see</w:t>
      </w:r>
      <w:r>
        <w:t xml:space="preserve">ks to support the expansion of </w:t>
      </w:r>
      <w:proofErr w:type="gramStart"/>
      <w:r>
        <w:t>digitally-enabled</w:t>
      </w:r>
      <w:proofErr w:type="gramEnd"/>
      <w:r>
        <w:t xml:space="preserve"> services to 5 million smallholder farmers, delivered by growing ecosystems of diverse service providers and building farmer income, productivity and resilience across by 50% while reaching 40% women. </w:t>
      </w:r>
    </w:p>
    <w:p w14:paraId="632061F1" w14:textId="77777777" w:rsidR="00EC5FD4" w:rsidRDefault="004B169F">
      <w:pPr>
        <w:widowControl w:val="0"/>
        <w:spacing w:after="120"/>
        <w:jc w:val="both"/>
      </w:pPr>
      <w:r>
        <w:t>The pr</w:t>
      </w:r>
      <w:r>
        <w:t xml:space="preserve">ogram’s core innovations are: 1) a </w:t>
      </w:r>
      <w:r>
        <w:rPr>
          <w:b/>
        </w:rPr>
        <w:t xml:space="preserve">rapid iteration engagement model </w:t>
      </w:r>
      <w:r>
        <w:t xml:space="preserve">to drive innovative, client-centric product development; and 2) our work with </w:t>
      </w:r>
      <w:r>
        <w:rPr>
          <w:b/>
        </w:rPr>
        <w:t>partners to develop “bundles</w:t>
      </w:r>
      <w:r>
        <w:t>” of mobile-enabled services offering farmers affordable access to digital financi</w:t>
      </w:r>
      <w:r>
        <w:t>al and market informational services.  Our support programming is focused on enabling the following critical areas of innovation that will follow an ecosystem and market facilitation approach, supported through partnership activities and dissemination of e</w:t>
      </w:r>
      <w:r>
        <w:t>vidence-based learning to ecosystem actors, following a Market Systems Development (MSD) approach, with a strong gender focus</w:t>
      </w:r>
      <w:r>
        <w:rPr>
          <w:b/>
        </w:rPr>
        <w:t>. The innovation areas are:</w:t>
      </w:r>
    </w:p>
    <w:p w14:paraId="6C5A4B2A" w14:textId="77777777" w:rsidR="00EC5FD4" w:rsidRDefault="004B169F">
      <w:pPr>
        <w:widowControl w:val="0"/>
        <w:spacing w:after="120"/>
        <w:ind w:left="720"/>
        <w:jc w:val="both"/>
        <w:rPr>
          <w:i/>
        </w:rPr>
      </w:pPr>
      <w:r>
        <w:rPr>
          <w:i/>
        </w:rPr>
        <w:t>Climate-Smart approaches to SHF Climate Adaptation &amp; Mitigation</w:t>
      </w:r>
    </w:p>
    <w:p w14:paraId="5F028AAF" w14:textId="77777777" w:rsidR="00EC5FD4" w:rsidRDefault="004B169F">
      <w:pPr>
        <w:widowControl w:val="0"/>
        <w:spacing w:after="120"/>
        <w:ind w:firstLine="720"/>
        <w:jc w:val="both"/>
        <w:rPr>
          <w:i/>
        </w:rPr>
      </w:pPr>
      <w:r>
        <w:rPr>
          <w:i/>
        </w:rPr>
        <w:t>Agricultural Advisory and Smart Farming</w:t>
      </w:r>
      <w:r>
        <w:rPr>
          <w:i/>
        </w:rPr>
        <w:t xml:space="preserve"> Solutions</w:t>
      </w:r>
    </w:p>
    <w:p w14:paraId="7F8F424C" w14:textId="77777777" w:rsidR="00EC5FD4" w:rsidRDefault="004B169F">
      <w:pPr>
        <w:widowControl w:val="0"/>
        <w:spacing w:after="120"/>
        <w:ind w:firstLine="720"/>
        <w:jc w:val="both"/>
        <w:rPr>
          <w:i/>
        </w:rPr>
      </w:pPr>
      <w:r>
        <w:rPr>
          <w:i/>
        </w:rPr>
        <w:t>Gender Transformative Programming</w:t>
      </w:r>
    </w:p>
    <w:p w14:paraId="35EF5EF0" w14:textId="77777777" w:rsidR="00EC5FD4" w:rsidRDefault="004B169F">
      <w:pPr>
        <w:widowControl w:val="0"/>
        <w:spacing w:after="120"/>
        <w:ind w:left="720"/>
        <w:jc w:val="both"/>
        <w:rPr>
          <w:i/>
        </w:rPr>
      </w:pPr>
      <w:r>
        <w:rPr>
          <w:i/>
        </w:rPr>
        <w:t>Appropriate Digitally Enabled Financial Services for SHF</w:t>
      </w:r>
    </w:p>
    <w:p w14:paraId="3B19E472" w14:textId="77777777" w:rsidR="00EC5FD4" w:rsidRDefault="004B169F">
      <w:pPr>
        <w:widowControl w:val="0"/>
        <w:spacing w:after="120"/>
        <w:ind w:left="720"/>
        <w:jc w:val="both"/>
        <w:rPr>
          <w:i/>
        </w:rPr>
      </w:pPr>
      <w:r>
        <w:rPr>
          <w:i/>
        </w:rPr>
        <w:t>Digital Platform Models Providing Market Access, Financing, Information and Resources</w:t>
      </w:r>
    </w:p>
    <w:p w14:paraId="6B5DB949" w14:textId="77777777" w:rsidR="00EC5FD4" w:rsidRDefault="004B169F">
      <w:pPr>
        <w:widowControl w:val="0"/>
        <w:spacing w:after="120"/>
        <w:ind w:left="720"/>
        <w:jc w:val="both"/>
        <w:rPr>
          <w:i/>
        </w:rPr>
      </w:pPr>
      <w:r>
        <w:rPr>
          <w:i/>
        </w:rPr>
        <w:t>Digital Channels, Logistics and Mechanization</w:t>
      </w:r>
    </w:p>
    <w:p w14:paraId="059A177D" w14:textId="77777777" w:rsidR="00EC5FD4" w:rsidRDefault="004B169F">
      <w:pPr>
        <w:widowControl w:val="0"/>
        <w:spacing w:after="120"/>
        <w:ind w:left="720"/>
        <w:jc w:val="both"/>
        <w:rPr>
          <w:i/>
        </w:rPr>
      </w:pPr>
      <w:r>
        <w:rPr>
          <w:i/>
        </w:rPr>
        <w:t>Use of Digital Data for Decisioning, Product Development &amp; Risk Management.</w:t>
      </w:r>
    </w:p>
    <w:p w14:paraId="0383D488" w14:textId="77777777" w:rsidR="00EC5FD4" w:rsidRDefault="004B169F">
      <w:pPr>
        <w:widowControl w:val="0"/>
        <w:spacing w:after="120"/>
        <w:jc w:val="both"/>
      </w:pPr>
      <w:r>
        <w:t>The Program targets the core Three outcomes will</w:t>
      </w:r>
      <w:r>
        <w:t xml:space="preserve"> contribute to the achievement of this goal:</w:t>
      </w:r>
    </w:p>
    <w:p w14:paraId="737D08C5" w14:textId="77777777" w:rsidR="00EC5FD4" w:rsidRDefault="004B169F">
      <w:pPr>
        <w:widowControl w:val="0"/>
        <w:spacing w:after="120" w:line="240" w:lineRule="auto"/>
        <w:jc w:val="both"/>
      </w:pPr>
      <w:r>
        <w:rPr>
          <w:b/>
        </w:rPr>
        <w:t>Outcome 1:</w:t>
      </w:r>
      <w:r>
        <w:t xml:space="preserve"> </w:t>
      </w:r>
      <w:r>
        <w:rPr>
          <w:i/>
        </w:rPr>
        <w:t xml:space="preserve">Market actors expand, improve and continue to offer high-impact DFS products and services that are tailored to address the expressed needs of </w:t>
      </w:r>
      <w:proofErr w:type="gramStart"/>
      <w:r>
        <w:rPr>
          <w:i/>
        </w:rPr>
        <w:t>SHFs;</w:t>
      </w:r>
      <w:proofErr w:type="gramEnd"/>
    </w:p>
    <w:p w14:paraId="1EC66395" w14:textId="77777777" w:rsidR="00EC5FD4" w:rsidRDefault="004B169F">
      <w:pPr>
        <w:widowControl w:val="0"/>
        <w:spacing w:after="120" w:line="240" w:lineRule="auto"/>
        <w:jc w:val="both"/>
      </w:pPr>
      <w:r>
        <w:rPr>
          <w:b/>
        </w:rPr>
        <w:t>Outcome 2:</w:t>
      </w:r>
      <w:r>
        <w:t xml:space="preserve"> Farmers increase capability to access and</w:t>
      </w:r>
      <w:r>
        <w:t xml:space="preserve"> utilize demand-driven, high impact technology-enabled financial products and services relevant to </w:t>
      </w:r>
      <w:proofErr w:type="gramStart"/>
      <w:r>
        <w:t>SHFs;</w:t>
      </w:r>
      <w:proofErr w:type="gramEnd"/>
    </w:p>
    <w:p w14:paraId="3BE701E7" w14:textId="77777777" w:rsidR="00EC5FD4" w:rsidRDefault="004B169F">
      <w:pPr>
        <w:widowControl w:val="0"/>
        <w:spacing w:after="120" w:line="240" w:lineRule="auto"/>
        <w:jc w:val="both"/>
      </w:pPr>
      <w:r>
        <w:rPr>
          <w:b/>
        </w:rPr>
        <w:t>Outcome 3:</w:t>
      </w:r>
      <w:r>
        <w:t xml:space="preserve"> Ecosystems around both supplier and farmers emerge supporting provision of digital financial and informational services to SHFs that are use</w:t>
      </w:r>
      <w:r>
        <w:t>d at scale.</w:t>
      </w:r>
    </w:p>
    <w:p w14:paraId="2840CC4B" w14:textId="77777777" w:rsidR="00EC5FD4" w:rsidRDefault="004B169F">
      <w:pPr>
        <w:widowControl w:val="0"/>
        <w:spacing w:after="120"/>
        <w:jc w:val="both"/>
      </w:pPr>
      <w:r>
        <w:t xml:space="preserve">Building on the AgriFin approach, </w:t>
      </w:r>
      <w:proofErr w:type="gramStart"/>
      <w:r>
        <w:t>partnerships</w:t>
      </w:r>
      <w:proofErr w:type="gramEnd"/>
      <w:r>
        <w:t xml:space="preserve"> and experience to date, ADF 2 will build on existing approaches and partnerships, leveraging in new programming to:</w:t>
      </w:r>
    </w:p>
    <w:p w14:paraId="58EA16C3" w14:textId="77777777" w:rsidR="00EC5FD4" w:rsidRDefault="004B169F">
      <w:pPr>
        <w:widowControl w:val="0"/>
        <w:spacing w:after="120"/>
        <w:jc w:val="both"/>
      </w:pPr>
      <w:r>
        <w:lastRenderedPageBreak/>
        <w:t>•</w:t>
      </w:r>
      <w:r>
        <w:tab/>
      </w:r>
      <w:r>
        <w:rPr>
          <w:b/>
        </w:rPr>
        <w:t xml:space="preserve">Design, Test &amp; Scale </w:t>
      </w:r>
      <w:proofErr w:type="gramStart"/>
      <w:r>
        <w:rPr>
          <w:b/>
        </w:rPr>
        <w:t>Digitally-Enabled</w:t>
      </w:r>
      <w:proofErr w:type="gramEnd"/>
      <w:r>
        <w:rPr>
          <w:b/>
        </w:rPr>
        <w:t xml:space="preserve"> Climate Smart Agriculture Solutions (</w:t>
      </w:r>
      <w:proofErr w:type="spellStart"/>
      <w:r>
        <w:rPr>
          <w:b/>
        </w:rPr>
        <w:t>dCS</w:t>
      </w:r>
      <w:r>
        <w:rPr>
          <w:b/>
        </w:rPr>
        <w:t>A</w:t>
      </w:r>
      <w:proofErr w:type="spellEnd"/>
      <w:r>
        <w:rPr>
          <w:b/>
        </w:rPr>
        <w:t>)</w:t>
      </w:r>
      <w:r>
        <w:t xml:space="preserve"> focus alongside other innovation areas: Climate change is already causing yield declines for staple crops exacerbating food insecurity on the African continent. Farmers are struggling to know more and more to know how best to manage their farms. ADF 2 w</w:t>
      </w:r>
      <w:r>
        <w:t>ill continue to maintain a focus on the original ADF I (five) focus areas of innovation i.e. (a) smart farming &amp; ag advisory; (b) financial products &amp; services; (c) digital markets; (d) logistics &amp; distribution; and (e) alternative data &amp; credit scoring le</w:t>
      </w:r>
      <w:r>
        <w:t xml:space="preserve">verage climatic </w:t>
      </w:r>
      <w:proofErr w:type="gramStart"/>
      <w:r>
        <w:t>data;</w:t>
      </w:r>
      <w:proofErr w:type="gramEnd"/>
    </w:p>
    <w:p w14:paraId="2778158D" w14:textId="77777777" w:rsidR="00EC5FD4" w:rsidRDefault="004B169F">
      <w:pPr>
        <w:widowControl w:val="0"/>
        <w:spacing w:after="120"/>
        <w:jc w:val="both"/>
      </w:pPr>
      <w:r>
        <w:t>•</w:t>
      </w:r>
      <w:r>
        <w:tab/>
      </w:r>
      <w:r>
        <w:rPr>
          <w:b/>
        </w:rPr>
        <w:t>Deliver on Digital for Women:</w:t>
      </w:r>
      <w:r>
        <w:t xml:space="preserve"> AgriFin is committed to address the digital divide by designing products and services specifically for women farmers and women in agricultural value chains. Designing for women ensures uptake, active </w:t>
      </w:r>
      <w:proofErr w:type="gramStart"/>
      <w:r>
        <w:t>us</w:t>
      </w:r>
      <w:r>
        <w:t>e</w:t>
      </w:r>
      <w:proofErr w:type="gramEnd"/>
      <w:r>
        <w:t xml:space="preserve"> and impact, while increasing agricultural productivity, inclusion, poverty reduction and climate resilience. AgriFin impact evidence on gender points forward to the importance of digitizing groups, building meaningful financial bundles that are savings-l</w:t>
      </w:r>
      <w:r>
        <w:t xml:space="preserve">ed, building farm skills, market linkages and ensuring a trusted human support role as women build decisioning power, digital access and digital </w:t>
      </w:r>
      <w:proofErr w:type="gramStart"/>
      <w:r>
        <w:t>literacy;</w:t>
      </w:r>
      <w:proofErr w:type="gramEnd"/>
    </w:p>
    <w:p w14:paraId="44DF8C7A" w14:textId="77777777" w:rsidR="00EC5FD4" w:rsidRDefault="004B169F">
      <w:pPr>
        <w:widowControl w:val="0"/>
        <w:spacing w:after="120"/>
        <w:jc w:val="both"/>
      </w:pPr>
      <w:r>
        <w:t>•</w:t>
      </w:r>
      <w:r>
        <w:tab/>
      </w:r>
      <w:r>
        <w:rPr>
          <w:b/>
        </w:rPr>
        <w:t>Address Impacts of COVID-19 and Desert Locust:</w:t>
      </w:r>
      <w:r>
        <w:t xml:space="preserve">  Recognizing the dramatic impact of COVID-19 and Des</w:t>
      </w:r>
      <w:r>
        <w:t xml:space="preserve">ert Locust across our markets, we have seen that digital solutions are a lifeline to create safe, transparent, </w:t>
      </w:r>
      <w:proofErr w:type="gramStart"/>
      <w:r>
        <w:t>efficient</w:t>
      </w:r>
      <w:proofErr w:type="gramEnd"/>
      <w:r>
        <w:t xml:space="preserve"> and scalable solutions for farmers and the value chains in which they work. AgriFin has already successfully leveraged and will continu</w:t>
      </w:r>
      <w:r>
        <w:t xml:space="preserve">e to engage existing agile programming, technology innovation and partnerships to scale services for farmers, while protecting the companies and markets serving them, working to rebuild livelihoods and food </w:t>
      </w:r>
      <w:proofErr w:type="gramStart"/>
      <w:r>
        <w:t>systems;</w:t>
      </w:r>
      <w:proofErr w:type="gramEnd"/>
    </w:p>
    <w:p w14:paraId="4F1CFE62" w14:textId="77777777" w:rsidR="00EC5FD4" w:rsidRDefault="004B169F">
      <w:pPr>
        <w:widowControl w:val="0"/>
        <w:spacing w:after="120"/>
        <w:jc w:val="both"/>
      </w:pPr>
      <w:r>
        <w:t>•</w:t>
      </w:r>
      <w:r>
        <w:tab/>
      </w:r>
      <w:r>
        <w:rPr>
          <w:b/>
        </w:rPr>
        <w:t>Crack the Digital Platform Code</w:t>
      </w:r>
      <w:r>
        <w:t xml:space="preserve"> by bui</w:t>
      </w:r>
      <w:r>
        <w:t xml:space="preserve">lding on existing and developing new platform partners, continuing to leverage digital data and diverse bundles of products and partnerships. AFD II will support existing partners, including platforms like </w:t>
      </w:r>
      <w:proofErr w:type="spellStart"/>
      <w:r>
        <w:t>DigiFarm</w:t>
      </w:r>
      <w:proofErr w:type="spellEnd"/>
      <w:r>
        <w:t xml:space="preserve">, KALRO, </w:t>
      </w:r>
      <w:proofErr w:type="spellStart"/>
      <w:r>
        <w:t>WeFarm</w:t>
      </w:r>
      <w:proofErr w:type="spellEnd"/>
      <w:r>
        <w:t>, World Bank Million Farmer</w:t>
      </w:r>
      <w:r>
        <w:t xml:space="preserve"> Platform, WhatsApp for Business, One Acre Fund, Vodacom, </w:t>
      </w:r>
      <w:proofErr w:type="spellStart"/>
      <w:r>
        <w:t>GoogleX</w:t>
      </w:r>
      <w:proofErr w:type="spellEnd"/>
      <w:r>
        <w:t xml:space="preserve"> and ATA along with new partners like Yara/IBM, Digital Green. Each of these partners have explicitly stated the need for platform and </w:t>
      </w:r>
      <w:proofErr w:type="spellStart"/>
      <w:r>
        <w:t>dCSA</w:t>
      </w:r>
      <w:proofErr w:type="spellEnd"/>
      <w:r>
        <w:t xml:space="preserve"> </w:t>
      </w:r>
      <w:proofErr w:type="gramStart"/>
      <w:r>
        <w:t>approaches;</w:t>
      </w:r>
      <w:proofErr w:type="gramEnd"/>
    </w:p>
    <w:p w14:paraId="2657DC2E" w14:textId="77777777" w:rsidR="00EC5FD4" w:rsidRDefault="004B169F">
      <w:pPr>
        <w:widowControl w:val="0"/>
        <w:spacing w:after="120" w:line="240" w:lineRule="auto"/>
        <w:jc w:val="both"/>
      </w:pPr>
      <w:r>
        <w:t>•</w:t>
      </w:r>
      <w:r>
        <w:tab/>
      </w:r>
      <w:r>
        <w:rPr>
          <w:b/>
        </w:rPr>
        <w:t>Support Breakthrough Models for Digit</w:t>
      </w:r>
      <w:r>
        <w:rPr>
          <w:b/>
        </w:rPr>
        <w:t>al Data Sharing and Usage</w:t>
      </w:r>
      <w:r>
        <w:t xml:space="preserve">: Leveraging a strategic approach with AgriFin partners, including government, private sector, </w:t>
      </w:r>
      <w:proofErr w:type="gramStart"/>
      <w:r>
        <w:t>academics</w:t>
      </w:r>
      <w:proofErr w:type="gramEnd"/>
      <w:r>
        <w:t xml:space="preserve"> and development agencies to break down data silos and build collaborative data agendas and learning areas, leveraging closer r</w:t>
      </w:r>
      <w:r>
        <w:t>elationships with other key think-tanks and Open-Data initiatives to shape the data opportunity in agriculture. AgriFin will develop and disseminate actionable data toolkits that can be refined directly in work with partners and available externally as a p</w:t>
      </w:r>
      <w:r>
        <w:t>ublic good, continuing to push sustainable business models, open data sharing environments, farmer inclusion and research and learning around data and data sharing.</w:t>
      </w:r>
    </w:p>
    <w:p w14:paraId="13A69DBE" w14:textId="77777777" w:rsidR="00EC5FD4" w:rsidRDefault="004B169F">
      <w:pPr>
        <w:widowControl w:val="0"/>
        <w:spacing w:after="120" w:line="240" w:lineRule="auto"/>
        <w:jc w:val="both"/>
        <w:rPr>
          <w:color w:val="000000"/>
        </w:rPr>
      </w:pPr>
      <w:r>
        <w:t>•</w:t>
      </w:r>
      <w:r>
        <w:tab/>
      </w:r>
      <w:r>
        <w:rPr>
          <w:b/>
        </w:rPr>
        <w:t>Support Ecosystem Learning, Impact Evaluation &amp; Reporting.</w:t>
      </w:r>
      <w:r>
        <w:t xml:space="preserve"> Market ecosystem actors and the development community lack sufficient information, proven products and tools, and effective partnership models to successfully </w:t>
      </w:r>
      <w:r>
        <w:rPr>
          <w:color w:val="000000"/>
        </w:rPr>
        <w:t xml:space="preserve">provide effective </w:t>
      </w:r>
      <w:proofErr w:type="gramStart"/>
      <w:r>
        <w:rPr>
          <w:color w:val="000000"/>
        </w:rPr>
        <w:t>digitally-enabled</w:t>
      </w:r>
      <w:proofErr w:type="gramEnd"/>
      <w:r>
        <w:rPr>
          <w:color w:val="000000"/>
        </w:rPr>
        <w:t xml:space="preserve"> services to farmers.  AgriFin serves as a public information</w:t>
      </w:r>
      <w:r>
        <w:rPr>
          <w:color w:val="000000"/>
        </w:rPr>
        <w:t xml:space="preserve"> resource related to </w:t>
      </w:r>
      <w:proofErr w:type="gramStart"/>
      <w:r>
        <w:rPr>
          <w:color w:val="000000"/>
        </w:rPr>
        <w:t>digitally-enabled</w:t>
      </w:r>
      <w:proofErr w:type="gramEnd"/>
      <w:r>
        <w:rPr>
          <w:color w:val="000000"/>
        </w:rPr>
        <w:t xml:space="preserve"> services for smallholder farmers, share program research, tools and project engagement learning, as well as disseminate lessons learned through a dedicated website and social media.</w:t>
      </w:r>
    </w:p>
    <w:p w14:paraId="79FE2B02" w14:textId="77777777" w:rsidR="00EC5FD4" w:rsidRDefault="00EC5FD4">
      <w:pPr>
        <w:spacing w:after="0" w:line="240" w:lineRule="auto"/>
        <w:jc w:val="both"/>
        <w:rPr>
          <w:color w:val="000000"/>
        </w:rPr>
      </w:pPr>
    </w:p>
    <w:p w14:paraId="26C4D348" w14:textId="77777777" w:rsidR="00EC5FD4" w:rsidRDefault="004B169F">
      <w:pPr>
        <w:spacing w:after="0" w:line="240" w:lineRule="auto"/>
        <w:jc w:val="both"/>
        <w:rPr>
          <w:b/>
          <w:color w:val="000000"/>
        </w:rPr>
      </w:pPr>
      <w:r>
        <w:rPr>
          <w:b/>
          <w:color w:val="000000"/>
        </w:rPr>
        <w:t>Country Selection</w:t>
      </w:r>
    </w:p>
    <w:p w14:paraId="67EA25D4" w14:textId="77777777" w:rsidR="00EC5FD4" w:rsidRDefault="00EC5FD4">
      <w:pPr>
        <w:spacing w:after="0" w:line="240" w:lineRule="auto"/>
        <w:jc w:val="both"/>
        <w:rPr>
          <w:color w:val="000000"/>
        </w:rPr>
      </w:pPr>
    </w:p>
    <w:p w14:paraId="1CBA2A75" w14:textId="77777777" w:rsidR="00EC5FD4" w:rsidRDefault="004B169F">
      <w:pPr>
        <w:spacing w:after="0" w:line="240" w:lineRule="auto"/>
        <w:jc w:val="both"/>
        <w:rPr>
          <w:color w:val="000000"/>
        </w:rPr>
      </w:pPr>
      <w:bookmarkStart w:id="1" w:name="_heading=h.1fob9te" w:colFirst="0" w:colLast="0"/>
      <w:bookmarkEnd w:id="1"/>
      <w:r>
        <w:rPr>
          <w:color w:val="000000"/>
        </w:rPr>
        <w:t xml:space="preserve">In response to </w:t>
      </w:r>
      <w:r>
        <w:rPr>
          <w:color w:val="000000"/>
        </w:rPr>
        <w:t xml:space="preserve">farmer needs and ADF program learning, Mercy Corps aims to leverage current AgriFin partnerships and learning to expand and deepen our work to address the looming food security and climate change crisis to </w:t>
      </w:r>
      <w:r>
        <w:rPr>
          <w:b/>
          <w:color w:val="000000"/>
        </w:rPr>
        <w:t>extend high-impact, digitally-enabled services for</w:t>
      </w:r>
      <w:r>
        <w:rPr>
          <w:b/>
          <w:color w:val="000000"/>
        </w:rPr>
        <w:t xml:space="preserve"> over 5 million smallholders</w:t>
      </w:r>
      <w:r>
        <w:rPr>
          <w:color w:val="000000"/>
        </w:rPr>
        <w:t xml:space="preserve"> and the agricultural value chains they work across our existing markets in </w:t>
      </w:r>
      <w:r>
        <w:rPr>
          <w:b/>
          <w:color w:val="000000"/>
        </w:rPr>
        <w:t>Kenya, Tanzania, Ethiopian and Nigeria, with expanded service support services in adjacent markets</w:t>
      </w:r>
      <w:r>
        <w:rPr>
          <w:color w:val="000000"/>
        </w:rPr>
        <w:t xml:space="preserve"> with national, regional and global partners over the </w:t>
      </w:r>
      <w:r>
        <w:rPr>
          <w:color w:val="000000"/>
        </w:rPr>
        <w:t xml:space="preserve">next four years. As our hub markets in Kenya and Tanzania mature, ADF 2 will extend models, funders, Mercy Corps’ African footprint in 16 countries and regional partners like AGRA, CGIAR and FSD to drive growth in new and former AgriFin markets, including </w:t>
      </w:r>
      <w:r>
        <w:rPr>
          <w:color w:val="000000"/>
        </w:rPr>
        <w:t xml:space="preserve">Uganda, Mozambique, Zambia, Zimbabwe, Ghana, Senegal, </w:t>
      </w:r>
      <w:proofErr w:type="gramStart"/>
      <w:r>
        <w:rPr>
          <w:color w:val="000000"/>
        </w:rPr>
        <w:t>Sudan</w:t>
      </w:r>
      <w:proofErr w:type="gramEnd"/>
      <w:r>
        <w:rPr>
          <w:color w:val="000000"/>
        </w:rPr>
        <w:t xml:space="preserve"> and DRC.</w:t>
      </w:r>
    </w:p>
    <w:p w14:paraId="2CFB8852" w14:textId="77777777" w:rsidR="00EC5FD4" w:rsidRDefault="00EC5FD4">
      <w:pPr>
        <w:spacing w:after="0" w:line="240" w:lineRule="auto"/>
        <w:jc w:val="both"/>
        <w:rPr>
          <w:color w:val="000000"/>
        </w:rPr>
      </w:pPr>
    </w:p>
    <w:p w14:paraId="48A98602" w14:textId="77777777" w:rsidR="00EC5FD4" w:rsidRDefault="004B169F">
      <w:pPr>
        <w:shd w:val="clear" w:color="auto" w:fill="B80000"/>
        <w:spacing w:after="120"/>
        <w:jc w:val="both"/>
      </w:pPr>
      <w:r>
        <w:rPr>
          <w:b/>
          <w:color w:val="FFFFFF"/>
        </w:rPr>
        <w:t xml:space="preserve">GIZ Digital Agriculture Africa </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2A86DADC" w14:textId="77777777" w:rsidR="00EC5FD4" w:rsidRDefault="004B169F">
      <w:pPr>
        <w:pBdr>
          <w:top w:val="nil"/>
          <w:left w:val="nil"/>
          <w:bottom w:val="nil"/>
          <w:right w:val="nil"/>
          <w:between w:val="nil"/>
        </w:pBdr>
        <w:ind w:right="90"/>
        <w:jc w:val="both"/>
        <w:rPr>
          <w:color w:val="000000"/>
        </w:rPr>
      </w:pPr>
      <w:r>
        <w:rPr>
          <w:color w:val="000000"/>
        </w:rPr>
        <w:t xml:space="preserve">The challenges in agriculture in Africa, particularly for the smallholder farmers producing 80% of its’ food for consumption, are complex, and no single solution exists to reverse age-old issues around markets, infrastructure, </w:t>
      </w:r>
      <w:proofErr w:type="gramStart"/>
      <w:r>
        <w:rPr>
          <w:color w:val="000000"/>
        </w:rPr>
        <w:t>poverty</w:t>
      </w:r>
      <w:proofErr w:type="gramEnd"/>
      <w:r>
        <w:rPr>
          <w:color w:val="000000"/>
        </w:rPr>
        <w:t xml:space="preserve"> and exclusion. Digita</w:t>
      </w:r>
      <w:r>
        <w:rPr>
          <w:color w:val="000000"/>
        </w:rPr>
        <w:t>l solutions can provide relatively low-cost solutions that reach scale quickly, open new markets, and surpass the traditional brick-and-mortar approach to customer acquisition and the distribution and sales of products and services.  Over the past five yea</w:t>
      </w:r>
      <w:r>
        <w:rPr>
          <w:color w:val="000000"/>
        </w:rPr>
        <w:t xml:space="preserve">rs, AgriFin has worked both to build capacity of fintech and </w:t>
      </w:r>
      <w:proofErr w:type="spellStart"/>
      <w:r>
        <w:rPr>
          <w:color w:val="000000"/>
        </w:rPr>
        <w:t>agtech</w:t>
      </w:r>
      <w:proofErr w:type="spellEnd"/>
      <w:r>
        <w:rPr>
          <w:color w:val="000000"/>
        </w:rPr>
        <w:t xml:space="preserve"> innovators to scale </w:t>
      </w:r>
      <w:proofErr w:type="gramStart"/>
      <w:r>
        <w:rPr>
          <w:color w:val="000000"/>
        </w:rPr>
        <w:t>and also</w:t>
      </w:r>
      <w:proofErr w:type="gramEnd"/>
      <w:r>
        <w:rPr>
          <w:color w:val="000000"/>
        </w:rPr>
        <w:t xml:space="preserve"> worked to broker partnerships for them onto larger digital platforms, typically hosted by banks, mobile network operators, large agricultural enterprises and g</w:t>
      </w:r>
      <w:r>
        <w:rPr>
          <w:color w:val="000000"/>
        </w:rPr>
        <w:t xml:space="preserve">overnment. Digital platforms are evolving as drivers for impact and viability in delivery of key services for agriculture </w:t>
      </w:r>
      <w:proofErr w:type="gramStart"/>
      <w:r>
        <w:rPr>
          <w:color w:val="000000"/>
        </w:rPr>
        <w:t>and also</w:t>
      </w:r>
      <w:proofErr w:type="gramEnd"/>
      <w:r>
        <w:rPr>
          <w:color w:val="000000"/>
        </w:rPr>
        <w:t xml:space="preserve"> for scale up of young, breakthrough technology providers.  Digital platforms can host multiple service providers, working to </w:t>
      </w:r>
      <w:r>
        <w:rPr>
          <w:color w:val="000000"/>
        </w:rPr>
        <w:t xml:space="preserve">offer “end to end” services to drive transformation in agricultural markets and impact for smallholders, while decreasing risks and increasing revenue models for </w:t>
      </w:r>
      <w:proofErr w:type="spellStart"/>
      <w:r>
        <w:rPr>
          <w:color w:val="000000"/>
        </w:rPr>
        <w:t>fintechs</w:t>
      </w:r>
      <w:proofErr w:type="spellEnd"/>
      <w:r>
        <w:rPr>
          <w:color w:val="000000"/>
        </w:rPr>
        <w:t xml:space="preserve">, </w:t>
      </w:r>
      <w:proofErr w:type="spellStart"/>
      <w:r>
        <w:rPr>
          <w:color w:val="000000"/>
        </w:rPr>
        <w:t>agtechs</w:t>
      </w:r>
      <w:proofErr w:type="spellEnd"/>
      <w:r>
        <w:rPr>
          <w:color w:val="000000"/>
        </w:rPr>
        <w:t xml:space="preserve"> and other market actors. </w:t>
      </w:r>
    </w:p>
    <w:p w14:paraId="1287057D" w14:textId="77777777" w:rsidR="00EC5FD4" w:rsidRDefault="00EC5FD4">
      <w:pPr>
        <w:spacing w:after="0" w:line="240" w:lineRule="auto"/>
        <w:jc w:val="both"/>
        <w:rPr>
          <w:color w:val="000000"/>
        </w:rPr>
      </w:pPr>
    </w:p>
    <w:p w14:paraId="60EA3E89" w14:textId="77777777" w:rsidR="00EC5FD4" w:rsidRDefault="004B169F">
      <w:pPr>
        <w:pBdr>
          <w:top w:val="nil"/>
          <w:left w:val="nil"/>
          <w:bottom w:val="nil"/>
          <w:right w:val="nil"/>
          <w:between w:val="nil"/>
        </w:pBdr>
        <w:shd w:val="clear" w:color="auto" w:fill="B80000"/>
        <w:spacing w:after="0" w:line="240" w:lineRule="auto"/>
        <w:jc w:val="both"/>
        <w:rPr>
          <w:rFonts w:ascii="Times New Roman" w:eastAsia="Times New Roman" w:hAnsi="Times New Roman" w:cs="Times New Roman"/>
          <w:color w:val="000000"/>
          <w:sz w:val="24"/>
          <w:szCs w:val="24"/>
        </w:rPr>
      </w:pPr>
      <w:bookmarkStart w:id="2" w:name="_heading=h.3znysh7" w:colFirst="0" w:colLast="0"/>
      <w:bookmarkEnd w:id="2"/>
      <w:r>
        <w:rPr>
          <w:b/>
          <w:color w:val="FFFFFF"/>
        </w:rPr>
        <w:t>OKTA-</w:t>
      </w:r>
      <w:r>
        <w:rPr>
          <w:color w:val="000000"/>
        </w:rPr>
        <w:t xml:space="preserve"> </w:t>
      </w:r>
      <w:r>
        <w:rPr>
          <w:b/>
          <w:color w:val="FFFFFF"/>
        </w:rPr>
        <w:t>Sprout Smart Farmer Innovation (SSFI) Progr</w:t>
      </w:r>
      <w:r>
        <w:rPr>
          <w:b/>
          <w:color w:val="FFFFFF"/>
        </w:rPr>
        <w:t>am Overview</w:t>
      </w:r>
      <w:r>
        <w:rPr>
          <w:b/>
          <w:color w:val="FFFFFF"/>
        </w:rPr>
        <w:tab/>
      </w:r>
      <w:r>
        <w:rPr>
          <w:b/>
          <w:color w:val="FFFFFF"/>
        </w:rPr>
        <w:tab/>
      </w:r>
      <w:r>
        <w:rPr>
          <w:b/>
          <w:color w:val="FFFFFF"/>
        </w:rPr>
        <w:tab/>
      </w:r>
      <w:r>
        <w:rPr>
          <w:b/>
          <w:color w:val="FFFFFF"/>
        </w:rPr>
        <w:tab/>
      </w:r>
      <w:r>
        <w:rPr>
          <w:b/>
          <w:color w:val="FFFFFF"/>
        </w:rPr>
        <w:tab/>
      </w:r>
    </w:p>
    <w:p w14:paraId="156DFB78" w14:textId="77777777" w:rsidR="00EC5FD4" w:rsidRDefault="004B169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rPr>
        <w:t xml:space="preserve">Smallholder farmers feed 1/3rd of the world’s population, but studies project agricultural productivity throughout sub-Saharan Africa will not be able to meet growing demands. In addition to growing population, environmental shocks, major </w:t>
      </w:r>
      <w:r>
        <w:rPr>
          <w:color w:val="000000"/>
        </w:rPr>
        <w:t xml:space="preserve">market disruptions and reliance on outdated agronomic practices, </w:t>
      </w:r>
      <w:proofErr w:type="gramStart"/>
      <w:r>
        <w:rPr>
          <w:color w:val="000000"/>
        </w:rPr>
        <w:t>the majority of</w:t>
      </w:r>
      <w:proofErr w:type="gramEnd"/>
      <w:r>
        <w:rPr>
          <w:color w:val="000000"/>
        </w:rPr>
        <w:t xml:space="preserve"> smallholder farmers have little access to updated agricultural information that addresses the causes of climate change and how best to adapt to its effects. There is a vast po</w:t>
      </w:r>
      <w:r>
        <w:rPr>
          <w:color w:val="000000"/>
        </w:rPr>
        <w:t xml:space="preserve">ol of this modern agriculture information and content, but it’s not easily accessible to many of these smallholder farmers. The </w:t>
      </w:r>
      <w:r>
        <w:rPr>
          <w:b/>
          <w:color w:val="000000"/>
        </w:rPr>
        <w:t>Sprout Smart Farmer Innovation (SSFI) Program</w:t>
      </w:r>
      <w:r>
        <w:rPr>
          <w:color w:val="000000"/>
        </w:rPr>
        <w:t xml:space="preserve"> intends the Sprout Platform to play the role of a global public good, where content can be consolidated and shared with farmer-facing organizations and distributed to smallholders through their various digital channels, supporting farmers to leverage the </w:t>
      </w:r>
      <w:r>
        <w:rPr>
          <w:color w:val="000000"/>
        </w:rPr>
        <w:t xml:space="preserve">information to build their capacity and become more resilient. As part of the initial pilot we have launched the Sprout Platform - https://sproutopencontent.com, an open data platform and Sprout Learning - </w:t>
      </w:r>
      <w:hyperlink r:id="rId8">
        <w:r>
          <w:rPr>
            <w:color w:val="0000FF"/>
            <w:u w:val="single"/>
          </w:rPr>
          <w:t>https://wa.me/254711943939?text=hi</w:t>
        </w:r>
      </w:hyperlink>
      <w:r>
        <w:rPr>
          <w:color w:val="000000"/>
        </w:rPr>
        <w:t xml:space="preserve"> , a white labeled WhatsApp for Business platform open to all partners to utilize and share with the smallholders they support. </w:t>
      </w:r>
    </w:p>
    <w:p w14:paraId="3754DB13" w14:textId="77777777" w:rsidR="00EC5FD4" w:rsidRDefault="00EC5FD4">
      <w:pPr>
        <w:spacing w:after="0" w:line="240" w:lineRule="auto"/>
        <w:jc w:val="both"/>
        <w:rPr>
          <w:color w:val="000000"/>
        </w:rPr>
      </w:pPr>
    </w:p>
    <w:p w14:paraId="4D652F62" w14:textId="77777777" w:rsidR="00EC5FD4" w:rsidRDefault="00EC5FD4">
      <w:pPr>
        <w:spacing w:after="0" w:line="240" w:lineRule="auto"/>
        <w:jc w:val="both"/>
      </w:pPr>
    </w:p>
    <w:p w14:paraId="3DD7A761" w14:textId="77777777" w:rsidR="00EC5FD4" w:rsidRDefault="00EC5FD4">
      <w:pPr>
        <w:spacing w:after="0" w:line="240" w:lineRule="auto"/>
        <w:jc w:val="both"/>
      </w:pPr>
    </w:p>
    <w:p w14:paraId="153D19D8" w14:textId="77777777" w:rsidR="00EC5FD4" w:rsidRDefault="00EC5FD4">
      <w:pPr>
        <w:spacing w:after="0" w:line="240" w:lineRule="auto"/>
        <w:jc w:val="both"/>
      </w:pPr>
    </w:p>
    <w:p w14:paraId="641532A2" w14:textId="77777777" w:rsidR="00EC5FD4" w:rsidRDefault="00EC5FD4">
      <w:pPr>
        <w:spacing w:after="0" w:line="240" w:lineRule="auto"/>
        <w:jc w:val="both"/>
      </w:pPr>
    </w:p>
    <w:p w14:paraId="1C444F6A" w14:textId="77777777" w:rsidR="00EC5FD4" w:rsidRDefault="00EC5FD4">
      <w:pPr>
        <w:spacing w:after="0" w:line="240" w:lineRule="auto"/>
        <w:jc w:val="both"/>
      </w:pPr>
    </w:p>
    <w:p w14:paraId="03A751D4" w14:textId="77777777" w:rsidR="00EC5FD4" w:rsidRDefault="004B169F">
      <w:pPr>
        <w:shd w:val="clear" w:color="auto" w:fill="B80000"/>
        <w:spacing w:after="120"/>
        <w:jc w:val="both"/>
      </w:pPr>
      <w:r>
        <w:rPr>
          <w:b/>
          <w:color w:val="FFFFFF"/>
        </w:rPr>
        <w:lastRenderedPageBreak/>
        <w:t>Purpose of Engagement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44FAEDF5" w14:textId="77777777" w:rsidR="00EC5FD4" w:rsidRDefault="00EC5FD4">
      <w:pPr>
        <w:shd w:val="clear" w:color="auto" w:fill="FFFFFF"/>
        <w:spacing w:after="0" w:line="240" w:lineRule="auto"/>
      </w:pPr>
    </w:p>
    <w:p w14:paraId="6987B5D4" w14:textId="77777777" w:rsidR="00EC5FD4" w:rsidRDefault="004B169F">
      <w:pPr>
        <w:shd w:val="clear" w:color="auto" w:fill="FFFFFF"/>
        <w:spacing w:after="0" w:line="240" w:lineRule="auto"/>
        <w:jc w:val="both"/>
      </w:pPr>
      <w:r>
        <w:t xml:space="preserve">The Consultant will work closely with the AgriFin Program, </w:t>
      </w:r>
      <w:proofErr w:type="gramStart"/>
      <w:r>
        <w:t>staff</w:t>
      </w:r>
      <w:proofErr w:type="gramEnd"/>
      <w:r>
        <w:t xml:space="preserve"> and other relevant field teams to support program engagements, partnerships follow-ups (onboarding to implementation), and provide inputs and support to the GIZ Digital Agriculture Africa Pro</w:t>
      </w:r>
      <w:r>
        <w:t xml:space="preserve">ject and Sprout, The Open Content Agriculture Platform. </w:t>
      </w:r>
    </w:p>
    <w:p w14:paraId="16578074" w14:textId="77777777" w:rsidR="00EC5FD4" w:rsidRDefault="00EC5FD4">
      <w:pPr>
        <w:shd w:val="clear" w:color="auto" w:fill="FFFFFF"/>
        <w:spacing w:after="0" w:line="240" w:lineRule="auto"/>
        <w:jc w:val="both"/>
      </w:pPr>
    </w:p>
    <w:p w14:paraId="35E78DFA" w14:textId="77777777" w:rsidR="00EC5FD4" w:rsidRDefault="004B169F">
      <w:pPr>
        <w:shd w:val="clear" w:color="auto" w:fill="FFFFFF"/>
        <w:spacing w:after="0" w:line="240" w:lineRule="auto"/>
        <w:jc w:val="both"/>
      </w:pPr>
      <w:r>
        <w:t>The DAA project aims to promote zero contact and prevent the spread of COVID-19 by utilizing technology to expand access to food, improve distribution of agriculture outputs by consumers through sup</w:t>
      </w:r>
      <w:r>
        <w:t xml:space="preserve">port farmers utilize updated agriculture extension information to bolster production, cultivation, </w:t>
      </w:r>
      <w:proofErr w:type="gramStart"/>
      <w:r>
        <w:t>marketing</w:t>
      </w:r>
      <w:proofErr w:type="gramEnd"/>
      <w:r>
        <w:t xml:space="preserve"> and distribution of food in Kenya, Ethiopia, Nigeria, Tanzania, and Uganda. The Sprout Platform is an open content agriculture platform where globa</w:t>
      </w:r>
      <w:r>
        <w:t>l agriculture experts and farmer facing organizations meet to share and discover farmer-friendly, digital ready content and services designed to build smallholder skills, resilience and income earning opportunities.</w:t>
      </w:r>
    </w:p>
    <w:p w14:paraId="0F3E6D44" w14:textId="77777777" w:rsidR="00EC5FD4" w:rsidRDefault="00EC5FD4">
      <w:pPr>
        <w:shd w:val="clear" w:color="auto" w:fill="FFFFFF"/>
        <w:spacing w:after="0" w:line="240" w:lineRule="auto"/>
        <w:jc w:val="both"/>
      </w:pPr>
    </w:p>
    <w:p w14:paraId="68F27B14" w14:textId="77777777" w:rsidR="00EC5FD4" w:rsidRDefault="004B169F">
      <w:r>
        <w:t>Over the past three years, World Bank (</w:t>
      </w:r>
      <w:r>
        <w:t xml:space="preserve">WB) and Mercy Corps AgriFin (MCAF) programming in Kenya have collaborated on </w:t>
      </w:r>
      <w:proofErr w:type="gramStart"/>
      <w:r>
        <w:t>a number of</w:t>
      </w:r>
      <w:proofErr w:type="gramEnd"/>
      <w:r>
        <w:t xml:space="preserve"> projects to support implementation of technology-led, scaled services to smallholder farmers. MCAF serves as a technical support provider to build active linkages betw</w:t>
      </w:r>
      <w:r>
        <w:t xml:space="preserve">een government and technology innovators, undertake related mapping, broker relationships, build capacity and provide support for implementation, </w:t>
      </w:r>
      <w:proofErr w:type="gramStart"/>
      <w:r>
        <w:t>viability</w:t>
      </w:r>
      <w:proofErr w:type="gramEnd"/>
      <w:r>
        <w:t xml:space="preserve"> and learning.  WB and MCAF have also been informal collaborators to develop the Kenyan Agriculture a</w:t>
      </w:r>
      <w:r>
        <w:t>nd Livestock Research Organization (KALRO), working in close coordination to pilot and scale precision agronomy services, develop a data and digital product strategy and develop private sector partnerships to drive scale and impact. WB and MCAF have also i</w:t>
      </w:r>
      <w:r>
        <w:t xml:space="preserve">nformally collaborated on the digitally enabled response to the COVID-19 and Desert Locust crises, which ultimately resulted in MCAF outreach to more than 16 million farmers in six African countries with support services.  </w:t>
      </w:r>
    </w:p>
    <w:p w14:paraId="3968A301" w14:textId="77777777" w:rsidR="00EC5FD4" w:rsidRDefault="004B169F">
      <w:r>
        <w:t>Building on previous engagements</w:t>
      </w:r>
      <w:r>
        <w:t xml:space="preserve">, the key objective of this partnership will be to accelerate and scale implementation of digitally enabled initiatives resulting in high impact service delivery to smallholder farmers </w:t>
      </w:r>
      <w:proofErr w:type="gramStart"/>
      <w:r>
        <w:t>in order to</w:t>
      </w:r>
      <w:proofErr w:type="gramEnd"/>
      <w:r>
        <w:t xml:space="preserve"> build their income, productivity and resilience.  With KALR</w:t>
      </w:r>
      <w:r>
        <w:t>O as a key collaborator for both World Bank and ADF2, we would seek to address the challenges of coordination across a wide range of actors and to build the capacity and long-term viability of digital services through KALRO through its data hub and support</w:t>
      </w:r>
      <w:r>
        <w:t xml:space="preserve"> for the Sprout Platform, which KALRO is a major contributor. </w:t>
      </w:r>
    </w:p>
    <w:p w14:paraId="7E42370D" w14:textId="77777777" w:rsidR="00EC5FD4" w:rsidRDefault="004B169F">
      <w:pPr>
        <w:shd w:val="clear" w:color="auto" w:fill="FFFFFF"/>
        <w:spacing w:after="0" w:line="240" w:lineRule="auto"/>
        <w:jc w:val="both"/>
      </w:pPr>
      <w:r>
        <w:t xml:space="preserve">The consultant will provide both technical and project management support and work under the direct supervision of the AgriFin Global Climate Technology </w:t>
      </w:r>
      <w:proofErr w:type="gramStart"/>
      <w:r>
        <w:t>Lead</w:t>
      </w:r>
      <w:proofErr w:type="gramEnd"/>
      <w:r>
        <w:t xml:space="preserve"> to determine priority activities on</w:t>
      </w:r>
      <w:r>
        <w:t xml:space="preserve"> a regular basis. This will include determining how the consultant will deploy with the AgriFin team and relevant partners. Adjustments will be made as necessary with feedback from partner timelines and project development. </w:t>
      </w:r>
    </w:p>
    <w:p w14:paraId="4D46D7D2" w14:textId="77777777" w:rsidR="00EC5FD4" w:rsidRDefault="00EC5FD4">
      <w:pPr>
        <w:pBdr>
          <w:top w:val="nil"/>
          <w:left w:val="nil"/>
          <w:bottom w:val="nil"/>
          <w:right w:val="nil"/>
          <w:between w:val="nil"/>
        </w:pBdr>
        <w:spacing w:after="25" w:line="240" w:lineRule="auto"/>
      </w:pPr>
    </w:p>
    <w:p w14:paraId="31D274EC" w14:textId="77777777" w:rsidR="00EC5FD4" w:rsidRDefault="004B169F">
      <w:pPr>
        <w:shd w:val="clear" w:color="auto" w:fill="B80000"/>
        <w:spacing w:after="120"/>
        <w:rPr>
          <w:b/>
          <w:color w:val="FFFFFF"/>
        </w:rPr>
      </w:pPr>
      <w:r>
        <w:rPr>
          <w:b/>
          <w:color w:val="FFFFFF"/>
        </w:rPr>
        <w:t>Scope of Work</w:t>
      </w:r>
    </w:p>
    <w:p w14:paraId="71DC4F35" w14:textId="77777777" w:rsidR="00EC5FD4" w:rsidRDefault="004B169F">
      <w:pPr>
        <w:spacing w:before="60" w:after="60"/>
        <w:jc w:val="both"/>
        <w:rPr>
          <w:b/>
        </w:rPr>
      </w:pPr>
      <w:bookmarkStart w:id="3" w:name="_Hlk94780496"/>
      <w:r>
        <w:t>This scope of wo</w:t>
      </w:r>
      <w:r>
        <w:t>rk sets the terms of reference for individual consultants for AgriFin Digital Farmer (ADF 2) Implementation. Under the direction of the ADF 2 Global Climate Technology Lead, the consultant will engage in the following key activities</w:t>
      </w:r>
      <w:r>
        <w:rPr>
          <w:b/>
        </w:rPr>
        <w:t>.</w:t>
      </w:r>
    </w:p>
    <w:p w14:paraId="2BD79D6A" w14:textId="77777777" w:rsidR="00EC5FD4" w:rsidRDefault="00EC5FD4">
      <w:pPr>
        <w:spacing w:before="60" w:after="60"/>
        <w:jc w:val="both"/>
        <w:rPr>
          <w:b/>
        </w:rPr>
      </w:pPr>
    </w:p>
    <w:p w14:paraId="09BEBA69" w14:textId="77777777" w:rsidR="00EC5FD4" w:rsidRDefault="004B169F">
      <w:pPr>
        <w:numPr>
          <w:ilvl w:val="0"/>
          <w:numId w:val="2"/>
        </w:numPr>
        <w:spacing w:after="0" w:line="240" w:lineRule="auto"/>
        <w:jc w:val="both"/>
      </w:pPr>
      <w:r>
        <w:lastRenderedPageBreak/>
        <w:t xml:space="preserve">Support implementation of short/long-term strategy and plan formulation Sprout Platform Strategy and Road Map </w:t>
      </w:r>
    </w:p>
    <w:p w14:paraId="75020BE2" w14:textId="77777777" w:rsidR="00EC5FD4" w:rsidRDefault="004B169F">
      <w:pPr>
        <w:numPr>
          <w:ilvl w:val="0"/>
          <w:numId w:val="2"/>
        </w:numPr>
        <w:spacing w:after="0" w:line="240" w:lineRule="auto"/>
        <w:jc w:val="both"/>
      </w:pPr>
      <w:r>
        <w:t>Support in the identification and integration of potential and relevant service providers into the Sprout Platform Market Place.</w:t>
      </w:r>
    </w:p>
    <w:p w14:paraId="6A8ED0B7" w14:textId="77777777" w:rsidR="00EC5FD4" w:rsidRDefault="004B169F">
      <w:pPr>
        <w:numPr>
          <w:ilvl w:val="0"/>
          <w:numId w:val="2"/>
        </w:numPr>
        <w:pBdr>
          <w:top w:val="nil"/>
          <w:left w:val="nil"/>
          <w:bottom w:val="nil"/>
          <w:right w:val="nil"/>
          <w:between w:val="nil"/>
        </w:pBdr>
        <w:spacing w:after="0" w:line="240" w:lineRule="auto"/>
        <w:rPr>
          <w:color w:val="000000"/>
        </w:rPr>
      </w:pPr>
      <w:r>
        <w:rPr>
          <w:color w:val="000000"/>
        </w:rPr>
        <w:t>Research, gather</w:t>
      </w:r>
      <w:r>
        <w:rPr>
          <w:color w:val="000000"/>
        </w:rPr>
        <w:t>, organize, and write/edit information for publication of learning journeys in SMS, Wa4B/Chatbots and .</w:t>
      </w:r>
      <w:proofErr w:type="spellStart"/>
      <w:r>
        <w:rPr>
          <w:color w:val="000000"/>
        </w:rPr>
        <w:t>xls</w:t>
      </w:r>
      <w:proofErr w:type="spellEnd"/>
      <w:r>
        <w:rPr>
          <w:color w:val="000000"/>
        </w:rPr>
        <w:t>/.</w:t>
      </w:r>
      <w:proofErr w:type="spellStart"/>
      <w:r>
        <w:rPr>
          <w:color w:val="000000"/>
        </w:rPr>
        <w:t>cvs</w:t>
      </w:r>
      <w:proofErr w:type="spellEnd"/>
    </w:p>
    <w:p w14:paraId="03E9E0D0" w14:textId="77777777" w:rsidR="00EC5FD4" w:rsidRDefault="004B169F">
      <w:pPr>
        <w:numPr>
          <w:ilvl w:val="0"/>
          <w:numId w:val="2"/>
        </w:numPr>
        <w:pBdr>
          <w:top w:val="nil"/>
          <w:left w:val="nil"/>
          <w:bottom w:val="nil"/>
          <w:right w:val="nil"/>
          <w:between w:val="nil"/>
        </w:pBdr>
        <w:spacing w:after="0" w:line="240" w:lineRule="auto"/>
        <w:rPr>
          <w:color w:val="000000"/>
        </w:rPr>
      </w:pPr>
      <w:r>
        <w:rPr>
          <w:color w:val="000000"/>
        </w:rPr>
        <w:t>Work with MCAF Agriculture, Financial Services Climate team leads and MCAF partners to identify, acquire and edit high priority content</w:t>
      </w:r>
    </w:p>
    <w:p w14:paraId="3E62475B" w14:textId="77777777" w:rsidR="00EC5FD4" w:rsidRDefault="004B169F">
      <w:pPr>
        <w:numPr>
          <w:ilvl w:val="0"/>
          <w:numId w:val="2"/>
        </w:numPr>
        <w:spacing w:after="0" w:line="240" w:lineRule="auto"/>
        <w:jc w:val="both"/>
      </w:pPr>
      <w:r>
        <w:t>Engage i</w:t>
      </w:r>
      <w:r>
        <w:t>n program learning and external representation for the AgriFin program with climate-related partners.</w:t>
      </w:r>
    </w:p>
    <w:p w14:paraId="5B5845F3" w14:textId="77777777" w:rsidR="00EC5FD4" w:rsidRDefault="004B169F">
      <w:pPr>
        <w:numPr>
          <w:ilvl w:val="0"/>
          <w:numId w:val="2"/>
        </w:numPr>
        <w:spacing w:after="0" w:line="240" w:lineRule="auto"/>
        <w:jc w:val="both"/>
      </w:pPr>
      <w:r>
        <w:t>Support in conducting due diligence on prospective Sprout Platform partners, compile required legal documents and share reports on the same.</w:t>
      </w:r>
    </w:p>
    <w:p w14:paraId="64805796" w14:textId="77777777" w:rsidR="00EC5FD4" w:rsidRDefault="004B169F">
      <w:pPr>
        <w:numPr>
          <w:ilvl w:val="0"/>
          <w:numId w:val="2"/>
        </w:numPr>
        <w:spacing w:after="0" w:line="240" w:lineRule="auto"/>
        <w:jc w:val="both"/>
      </w:pPr>
      <w:r>
        <w:t xml:space="preserve">Assist in development of partner work plans, with regards to Sprout Platform, reviewing research, marketing plans, business processes, operational manuals, product and technology specifications to do </w:t>
      </w:r>
      <w:proofErr w:type="gramStart"/>
      <w:r>
        <w:t>so;</w:t>
      </w:r>
      <w:proofErr w:type="gramEnd"/>
      <w:r>
        <w:t xml:space="preserve">  </w:t>
      </w:r>
    </w:p>
    <w:p w14:paraId="2AAD0D4E" w14:textId="77777777" w:rsidR="00EC5FD4" w:rsidRDefault="004B169F">
      <w:pPr>
        <w:numPr>
          <w:ilvl w:val="0"/>
          <w:numId w:val="2"/>
        </w:numPr>
        <w:pBdr>
          <w:top w:val="nil"/>
          <w:left w:val="nil"/>
          <w:bottom w:val="nil"/>
          <w:right w:val="nil"/>
          <w:between w:val="nil"/>
        </w:pBdr>
        <w:spacing w:after="0" w:line="240" w:lineRule="auto"/>
        <w:rPr>
          <w:color w:val="000000"/>
        </w:rPr>
      </w:pPr>
      <w:r>
        <w:rPr>
          <w:color w:val="000000"/>
        </w:rPr>
        <w:t>Support MCAF Content Distribution partners for acq</w:t>
      </w:r>
      <w:r>
        <w:rPr>
          <w:color w:val="000000"/>
        </w:rPr>
        <w:t>uisition, review, adaptation, implementation and testing of content with farmers.</w:t>
      </w:r>
    </w:p>
    <w:p w14:paraId="4BE42DD2" w14:textId="77777777" w:rsidR="00EC5FD4" w:rsidRDefault="004B169F">
      <w:pPr>
        <w:numPr>
          <w:ilvl w:val="0"/>
          <w:numId w:val="2"/>
        </w:numPr>
        <w:spacing w:after="0" w:line="240" w:lineRule="auto"/>
        <w:jc w:val="both"/>
      </w:pPr>
      <w:r>
        <w:t xml:space="preserve">Monitor Sprout Platform Partner progress, issues identification, reporting and resolution, or assist in resolving issues, under direction of Sprout Platform </w:t>
      </w:r>
      <w:proofErr w:type="gramStart"/>
      <w:r>
        <w:t>Team;</w:t>
      </w:r>
      <w:proofErr w:type="gramEnd"/>
    </w:p>
    <w:p w14:paraId="0BBEABE2" w14:textId="77777777" w:rsidR="00EC5FD4" w:rsidRDefault="004B169F">
      <w:pPr>
        <w:numPr>
          <w:ilvl w:val="0"/>
          <w:numId w:val="2"/>
        </w:numPr>
        <w:spacing w:after="0" w:line="240" w:lineRule="auto"/>
        <w:jc w:val="both"/>
      </w:pPr>
      <w:r>
        <w:t>Prepare Spr</w:t>
      </w:r>
      <w:r>
        <w:t>out Platform project documentation and progress reports and status updates based as needed</w:t>
      </w:r>
    </w:p>
    <w:p w14:paraId="2CD4A15E" w14:textId="77777777" w:rsidR="00EC5FD4" w:rsidRDefault="004B169F">
      <w:pPr>
        <w:numPr>
          <w:ilvl w:val="0"/>
          <w:numId w:val="2"/>
        </w:numPr>
        <w:spacing w:after="0" w:line="240" w:lineRule="auto"/>
        <w:jc w:val="both"/>
      </w:pPr>
      <w:r>
        <w:t>Assist the program in identifying technical consultants as needed, in preparing terms of reference and scopes of work, and provide support and oversight for consulta</w:t>
      </w:r>
      <w:r>
        <w:t xml:space="preserve">nts as </w:t>
      </w:r>
      <w:proofErr w:type="gramStart"/>
      <w:r>
        <w:t>required;</w:t>
      </w:r>
      <w:proofErr w:type="gramEnd"/>
    </w:p>
    <w:p w14:paraId="743F69B0" w14:textId="77777777" w:rsidR="00EC5FD4" w:rsidRDefault="004B169F">
      <w:pPr>
        <w:numPr>
          <w:ilvl w:val="0"/>
          <w:numId w:val="2"/>
        </w:numPr>
        <w:spacing w:after="0" w:line="240" w:lineRule="auto"/>
        <w:jc w:val="both"/>
      </w:pPr>
      <w:r>
        <w:t>Conduct due diligence on prospective partners, compile required legal documents and share reports on the same.</w:t>
      </w:r>
    </w:p>
    <w:p w14:paraId="3FC67D46" w14:textId="77777777" w:rsidR="00EC5FD4" w:rsidRDefault="004B169F">
      <w:pPr>
        <w:numPr>
          <w:ilvl w:val="0"/>
          <w:numId w:val="2"/>
        </w:numPr>
        <w:spacing w:after="0" w:line="240" w:lineRule="auto"/>
        <w:jc w:val="both"/>
      </w:pPr>
      <w:r>
        <w:t>Assist the program in identifying technical consultants as needed, in preparing terms of reference and scopes of work, and provi</w:t>
      </w:r>
      <w:r>
        <w:t xml:space="preserve">de support and oversight for consultants as required.  </w:t>
      </w:r>
    </w:p>
    <w:p w14:paraId="3CC0B57B" w14:textId="77777777" w:rsidR="00EC5FD4" w:rsidRDefault="00EC5FD4">
      <w:pPr>
        <w:spacing w:before="60" w:after="0"/>
        <w:jc w:val="both"/>
      </w:pPr>
    </w:p>
    <w:p w14:paraId="47FEFB5C" w14:textId="77777777" w:rsidR="00EC5FD4" w:rsidRDefault="004B169F">
      <w:pPr>
        <w:spacing w:line="240" w:lineRule="auto"/>
        <w:rPr>
          <w:color w:val="000000"/>
        </w:rPr>
      </w:pPr>
      <w:r>
        <w:t>This project implementation shall be fully consultative with key stakeholders and all learning outputs will be developed in close coordination with ADF 2 and related partners to ensure recommendation</w:t>
      </w:r>
      <w:r>
        <w:t>s and final learning outputs remain strategically aligned the program strategy.</w:t>
      </w:r>
    </w:p>
    <w:bookmarkEnd w:id="3"/>
    <w:p w14:paraId="1BFDE3CC" w14:textId="77777777" w:rsidR="00EC5FD4" w:rsidRDefault="004B169F">
      <w:pPr>
        <w:shd w:val="clear" w:color="auto" w:fill="B80000"/>
        <w:spacing w:after="120"/>
        <w:jc w:val="both"/>
        <w:rPr>
          <w:color w:val="222222"/>
        </w:rPr>
      </w:pPr>
      <w:r>
        <w:rPr>
          <w:b/>
          <w:color w:val="FFFFFF"/>
        </w:rPr>
        <w:t>Deliverables</w:t>
      </w:r>
      <w:r>
        <w:rPr>
          <w:b/>
          <w:color w:val="FFFFFF"/>
        </w:rPr>
        <w:tab/>
      </w:r>
      <w:r>
        <w:rPr>
          <w:b/>
          <w:color w:val="FFFFFF"/>
        </w:rPr>
        <w:tab/>
      </w:r>
      <w:r>
        <w:rPr>
          <w:b/>
          <w:color w:val="FFFFFF"/>
        </w:rPr>
        <w:tab/>
      </w:r>
      <w:r>
        <w:rPr>
          <w:b/>
          <w:color w:val="FFFFFF"/>
        </w:rPr>
        <w:tab/>
      </w:r>
    </w:p>
    <w:p w14:paraId="7618C7BF" w14:textId="77777777" w:rsidR="00EC5FD4" w:rsidRDefault="004B169F">
      <w:pPr>
        <w:shd w:val="clear" w:color="auto" w:fill="FFFFFF"/>
        <w:spacing w:after="0" w:line="240" w:lineRule="auto"/>
        <w:rPr>
          <w:color w:val="222222"/>
        </w:rPr>
      </w:pPr>
      <w:bookmarkStart w:id="4" w:name="_Hlk94780724"/>
      <w:r>
        <w:rPr>
          <w:color w:val="222222"/>
        </w:rPr>
        <w:t>The consultants will provide ADF with the following deliverables, with specific timelines to be agreed in the approved consultant workplan:</w:t>
      </w:r>
    </w:p>
    <w:p w14:paraId="2FB3E4E5" w14:textId="77777777" w:rsidR="00EC5FD4" w:rsidRDefault="00EC5FD4">
      <w:pPr>
        <w:shd w:val="clear" w:color="auto" w:fill="FFFFFF"/>
        <w:spacing w:after="0" w:line="240" w:lineRule="auto"/>
        <w:rPr>
          <w:color w:val="222222"/>
        </w:rPr>
      </w:pPr>
    </w:p>
    <w:p w14:paraId="2360FE6F" w14:textId="77777777" w:rsidR="00EC5FD4" w:rsidRDefault="00EC5FD4">
      <w:pPr>
        <w:shd w:val="clear" w:color="auto" w:fill="FFFFFF"/>
        <w:spacing w:after="0" w:line="240" w:lineRule="auto"/>
        <w:rPr>
          <w:color w:val="222222"/>
        </w:rPr>
      </w:pPr>
    </w:p>
    <w:p w14:paraId="5B0DA89D" w14:textId="77777777" w:rsidR="00EC5FD4" w:rsidRDefault="004B169F">
      <w:pPr>
        <w:numPr>
          <w:ilvl w:val="0"/>
          <w:numId w:val="1"/>
        </w:numPr>
        <w:spacing w:after="0" w:line="240" w:lineRule="auto"/>
        <w:ind w:left="630" w:hanging="270"/>
        <w:rPr>
          <w:color w:val="222222"/>
        </w:rPr>
      </w:pPr>
      <w:r>
        <w:rPr>
          <w:color w:val="222222"/>
        </w:rPr>
        <w:t>Weekly back to office report (BTOR) following partner meetings and engagements, including a summary of project sta</w:t>
      </w:r>
      <w:r>
        <w:rPr>
          <w:color w:val="222222"/>
        </w:rPr>
        <w:t>tus, potential project risks, and any other updates from partner meetings with ADF II partners, existing donors, contractors, and other ecosystem members.</w:t>
      </w:r>
    </w:p>
    <w:p w14:paraId="360A6308" w14:textId="77777777" w:rsidR="00EC5FD4" w:rsidRDefault="004B169F">
      <w:pPr>
        <w:numPr>
          <w:ilvl w:val="0"/>
          <w:numId w:val="1"/>
        </w:numPr>
        <w:spacing w:after="0" w:line="240" w:lineRule="auto"/>
        <w:ind w:left="630" w:hanging="270"/>
        <w:rPr>
          <w:color w:val="222222"/>
        </w:rPr>
      </w:pPr>
      <w:r>
        <w:rPr>
          <w:color w:val="222222"/>
        </w:rPr>
        <w:t>Weekly check-ins minutes with the Task Managers – this is outside of the standing Technical Team meet</w:t>
      </w:r>
      <w:r>
        <w:rPr>
          <w:color w:val="222222"/>
        </w:rPr>
        <w:t>ings.</w:t>
      </w:r>
    </w:p>
    <w:p w14:paraId="4785F522" w14:textId="77777777" w:rsidR="00EC5FD4" w:rsidRDefault="004B169F">
      <w:pPr>
        <w:numPr>
          <w:ilvl w:val="0"/>
          <w:numId w:val="1"/>
        </w:numPr>
        <w:spacing w:after="0" w:line="240" w:lineRule="auto"/>
        <w:ind w:left="630" w:hanging="270"/>
        <w:rPr>
          <w:color w:val="222222"/>
        </w:rPr>
      </w:pPr>
      <w:r>
        <w:rPr>
          <w:color w:val="222222"/>
        </w:rPr>
        <w:t xml:space="preserve">Monthly report updating project status, potential </w:t>
      </w:r>
      <w:proofErr w:type="gramStart"/>
      <w:r>
        <w:rPr>
          <w:color w:val="222222"/>
        </w:rPr>
        <w:t>risks</w:t>
      </w:r>
      <w:proofErr w:type="gramEnd"/>
      <w:r>
        <w:rPr>
          <w:color w:val="222222"/>
        </w:rPr>
        <w:t xml:space="preserve"> and any other updates from partnership implementation in the month.</w:t>
      </w:r>
    </w:p>
    <w:p w14:paraId="791A0146" w14:textId="77777777" w:rsidR="00EC5FD4" w:rsidRDefault="004B169F">
      <w:pPr>
        <w:numPr>
          <w:ilvl w:val="0"/>
          <w:numId w:val="1"/>
        </w:numPr>
        <w:spacing w:after="0" w:line="240" w:lineRule="auto"/>
        <w:ind w:left="630" w:hanging="270"/>
        <w:rPr>
          <w:color w:val="222222"/>
        </w:rPr>
      </w:pPr>
      <w:r>
        <w:rPr>
          <w:color w:val="222222"/>
        </w:rPr>
        <w:t>Final/handover report on activities with partners and future prospects for developments in additional program areas with worki</w:t>
      </w:r>
      <w:r>
        <w:rPr>
          <w:color w:val="222222"/>
        </w:rPr>
        <w:t>ng partners.</w:t>
      </w:r>
    </w:p>
    <w:p w14:paraId="75AFD828" w14:textId="77777777" w:rsidR="00EC5FD4" w:rsidRDefault="00EC5FD4">
      <w:pPr>
        <w:shd w:val="clear" w:color="auto" w:fill="FFFFFF"/>
        <w:spacing w:after="0" w:line="240" w:lineRule="auto"/>
        <w:rPr>
          <w:color w:val="222222"/>
        </w:rPr>
      </w:pPr>
    </w:p>
    <w:bookmarkEnd w:id="4"/>
    <w:p w14:paraId="76046EF0" w14:textId="77777777" w:rsidR="00EC5FD4" w:rsidRDefault="00EC5FD4">
      <w:pPr>
        <w:shd w:val="clear" w:color="auto" w:fill="FFFFFF"/>
        <w:spacing w:after="0" w:line="240" w:lineRule="auto"/>
        <w:rPr>
          <w:color w:val="222222"/>
        </w:rPr>
      </w:pPr>
    </w:p>
    <w:p w14:paraId="2320E97F" w14:textId="77777777" w:rsidR="00EC5FD4" w:rsidRDefault="004B169F">
      <w:pPr>
        <w:shd w:val="clear" w:color="auto" w:fill="B80000"/>
        <w:spacing w:after="120"/>
        <w:jc w:val="both"/>
        <w:rPr>
          <w:color w:val="222222"/>
        </w:rPr>
      </w:pPr>
      <w:r>
        <w:rPr>
          <w:b/>
          <w:color w:val="FFFFFF"/>
        </w:rPr>
        <w:t>Required Qualifications</w:t>
      </w:r>
      <w:r>
        <w:rPr>
          <w:b/>
          <w:color w:val="FFFFFF"/>
        </w:rPr>
        <w:tab/>
      </w:r>
      <w:r>
        <w:rPr>
          <w:b/>
          <w:color w:val="FFFFFF"/>
        </w:rPr>
        <w:tab/>
      </w:r>
      <w:r>
        <w:rPr>
          <w:b/>
          <w:color w:val="FFFFFF"/>
        </w:rPr>
        <w:tab/>
      </w:r>
      <w:r>
        <w:rPr>
          <w:b/>
          <w:color w:val="FFFFFF"/>
        </w:rPr>
        <w:tab/>
      </w:r>
      <w:r>
        <w:rPr>
          <w:b/>
          <w:color w:val="FFFFFF"/>
        </w:rPr>
        <w:tab/>
      </w:r>
    </w:p>
    <w:p w14:paraId="40AA6DCD" w14:textId="77777777" w:rsidR="00EC5FD4" w:rsidRDefault="004B169F">
      <w:pPr>
        <w:numPr>
          <w:ilvl w:val="0"/>
          <w:numId w:val="4"/>
        </w:numPr>
        <w:pBdr>
          <w:top w:val="nil"/>
          <w:left w:val="nil"/>
          <w:bottom w:val="nil"/>
          <w:right w:val="nil"/>
          <w:between w:val="nil"/>
        </w:pBdr>
        <w:spacing w:after="0"/>
        <w:jc w:val="both"/>
        <w:rPr>
          <w:color w:val="000000"/>
        </w:rPr>
      </w:pPr>
      <w:r>
        <w:rPr>
          <w:color w:val="000000"/>
        </w:rPr>
        <w:t>Bachelor’s degree in Agriculture Science, Business Administration, Marketing, Computer Science, or similar</w:t>
      </w:r>
    </w:p>
    <w:p w14:paraId="654321F2" w14:textId="77777777" w:rsidR="00EC5FD4" w:rsidRDefault="004B169F">
      <w:pPr>
        <w:numPr>
          <w:ilvl w:val="0"/>
          <w:numId w:val="4"/>
        </w:numPr>
        <w:pBdr>
          <w:top w:val="nil"/>
          <w:left w:val="nil"/>
          <w:bottom w:val="nil"/>
          <w:right w:val="nil"/>
          <w:between w:val="nil"/>
        </w:pBdr>
        <w:spacing w:after="0"/>
        <w:jc w:val="both"/>
        <w:rPr>
          <w:color w:val="000000"/>
        </w:rPr>
      </w:pPr>
      <w:r>
        <w:rPr>
          <w:color w:val="000000"/>
        </w:rPr>
        <w:t xml:space="preserve">Minimum three </w:t>
      </w:r>
      <w:proofErr w:type="spellStart"/>
      <w:r>
        <w:rPr>
          <w:color w:val="000000"/>
        </w:rPr>
        <w:t>years experience</w:t>
      </w:r>
      <w:proofErr w:type="spellEnd"/>
      <w:r>
        <w:rPr>
          <w:color w:val="000000"/>
        </w:rPr>
        <w:t xml:space="preserve"> in design and develop of content for social media and or behavior change f</w:t>
      </w:r>
      <w:r>
        <w:rPr>
          <w:color w:val="000000"/>
        </w:rPr>
        <w:t>or low-income, non-digitally savvy users for use on a range of platforms including: SMS (required</w:t>
      </w:r>
      <w:proofErr w:type="gramStart"/>
      <w:r>
        <w:rPr>
          <w:color w:val="000000"/>
        </w:rPr>
        <w:t>);  WhatsApp</w:t>
      </w:r>
      <w:proofErr w:type="gramEnd"/>
      <w:r>
        <w:rPr>
          <w:color w:val="000000"/>
        </w:rPr>
        <w:t>, Facebook, Instagram, etc. (required); Posters; Radio; and Trainings</w:t>
      </w:r>
    </w:p>
    <w:p w14:paraId="5B7A1DE6" w14:textId="77777777" w:rsidR="00EC5FD4" w:rsidRDefault="004B169F">
      <w:pPr>
        <w:numPr>
          <w:ilvl w:val="0"/>
          <w:numId w:val="4"/>
        </w:numPr>
        <w:pBdr>
          <w:top w:val="nil"/>
          <w:left w:val="nil"/>
          <w:bottom w:val="nil"/>
          <w:right w:val="nil"/>
          <w:between w:val="nil"/>
        </w:pBdr>
        <w:spacing w:after="0"/>
        <w:jc w:val="both"/>
        <w:rPr>
          <w:color w:val="000000"/>
        </w:rPr>
      </w:pPr>
      <w:r>
        <w:rPr>
          <w:color w:val="000000"/>
        </w:rPr>
        <w:t>Experience in designing, managing, monitoring, and measuring effectiveness of</w:t>
      </w:r>
      <w:r>
        <w:rPr>
          <w:color w:val="000000"/>
        </w:rPr>
        <w:t xml:space="preserve"> digital communications channels </w:t>
      </w:r>
    </w:p>
    <w:p w14:paraId="76D9EA5A" w14:textId="77777777" w:rsidR="00EC5FD4" w:rsidRDefault="004B169F">
      <w:pPr>
        <w:numPr>
          <w:ilvl w:val="0"/>
          <w:numId w:val="4"/>
        </w:numPr>
        <w:pBdr>
          <w:top w:val="nil"/>
          <w:left w:val="nil"/>
          <w:bottom w:val="nil"/>
          <w:right w:val="nil"/>
          <w:between w:val="nil"/>
        </w:pBdr>
        <w:spacing w:after="0"/>
        <w:jc w:val="both"/>
        <w:rPr>
          <w:color w:val="000000"/>
        </w:rPr>
      </w:pPr>
      <w:r>
        <w:rPr>
          <w:color w:val="000000"/>
        </w:rPr>
        <w:t>Previous experience implementing and administration open data portals highly preferred</w:t>
      </w:r>
    </w:p>
    <w:p w14:paraId="21006AD2" w14:textId="77777777" w:rsidR="00EC5FD4" w:rsidRDefault="004B169F">
      <w:pPr>
        <w:numPr>
          <w:ilvl w:val="0"/>
          <w:numId w:val="4"/>
        </w:numPr>
        <w:pBdr>
          <w:top w:val="nil"/>
          <w:left w:val="nil"/>
          <w:bottom w:val="nil"/>
          <w:right w:val="nil"/>
          <w:between w:val="nil"/>
        </w:pBdr>
        <w:spacing w:after="0"/>
        <w:jc w:val="both"/>
        <w:rPr>
          <w:color w:val="000000"/>
        </w:rPr>
      </w:pPr>
      <w:r>
        <w:rPr>
          <w:color w:val="000000"/>
        </w:rPr>
        <w:t>Experience working with CKAN/DKAN, and WordPress highly preferred</w:t>
      </w:r>
    </w:p>
    <w:p w14:paraId="280EB1F6" w14:textId="77777777" w:rsidR="00EC5FD4" w:rsidRDefault="004B169F">
      <w:pPr>
        <w:numPr>
          <w:ilvl w:val="0"/>
          <w:numId w:val="4"/>
        </w:numPr>
        <w:pBdr>
          <w:top w:val="nil"/>
          <w:left w:val="nil"/>
          <w:bottom w:val="nil"/>
          <w:right w:val="nil"/>
          <w:between w:val="nil"/>
        </w:pBdr>
        <w:spacing w:after="0"/>
        <w:jc w:val="both"/>
        <w:rPr>
          <w:color w:val="000000"/>
        </w:rPr>
      </w:pPr>
      <w:r>
        <w:rPr>
          <w:color w:val="000000"/>
        </w:rPr>
        <w:t>Experience in managing and administrating digital platforms (SMS, soc</w:t>
      </w:r>
      <w:r>
        <w:rPr>
          <w:color w:val="000000"/>
        </w:rPr>
        <w:t>ial media, etc.)</w:t>
      </w:r>
    </w:p>
    <w:p w14:paraId="56CE02A2" w14:textId="77777777" w:rsidR="00EC5FD4" w:rsidRDefault="004B169F">
      <w:pPr>
        <w:numPr>
          <w:ilvl w:val="0"/>
          <w:numId w:val="4"/>
        </w:numPr>
        <w:pBdr>
          <w:top w:val="nil"/>
          <w:left w:val="nil"/>
          <w:bottom w:val="nil"/>
          <w:right w:val="nil"/>
          <w:between w:val="nil"/>
        </w:pBdr>
        <w:spacing w:after="0"/>
        <w:jc w:val="both"/>
        <w:rPr>
          <w:color w:val="000000"/>
        </w:rPr>
      </w:pPr>
      <w:r>
        <w:rPr>
          <w:color w:val="000000"/>
        </w:rPr>
        <w:t>Pedagogical experience in developing user journeys for digital services to drive behavior change</w:t>
      </w:r>
    </w:p>
    <w:p w14:paraId="3847D9A4" w14:textId="77777777" w:rsidR="00EC5FD4" w:rsidRDefault="004B169F">
      <w:pPr>
        <w:numPr>
          <w:ilvl w:val="0"/>
          <w:numId w:val="4"/>
        </w:numPr>
        <w:pBdr>
          <w:top w:val="nil"/>
          <w:left w:val="nil"/>
          <w:bottom w:val="nil"/>
          <w:right w:val="nil"/>
          <w:between w:val="nil"/>
        </w:pBdr>
        <w:spacing w:after="0"/>
        <w:jc w:val="both"/>
        <w:rPr>
          <w:color w:val="000000"/>
        </w:rPr>
      </w:pPr>
      <w:r>
        <w:rPr>
          <w:color w:val="000000"/>
        </w:rPr>
        <w:t>Agriculture/agronomy science and field level experience (preferred, not required)</w:t>
      </w:r>
    </w:p>
    <w:p w14:paraId="37754BC9" w14:textId="77777777" w:rsidR="00EC5FD4" w:rsidRDefault="004B169F">
      <w:pPr>
        <w:shd w:val="clear" w:color="auto" w:fill="B80000"/>
        <w:spacing w:after="120"/>
        <w:jc w:val="both"/>
        <w:rPr>
          <w:b/>
          <w:color w:val="FFFFFF"/>
        </w:rPr>
      </w:pPr>
      <w:r>
        <w:rPr>
          <w:b/>
          <w:color w:val="FFFFFF"/>
        </w:rPr>
        <w:t>Project Learning Agenda</w:t>
      </w:r>
      <w:r>
        <w:rPr>
          <w:b/>
          <w:color w:val="FFFFFF"/>
        </w:rPr>
        <w:tab/>
      </w:r>
      <w:r>
        <w:rPr>
          <w:b/>
          <w:color w:val="FFFFFF"/>
        </w:rPr>
        <w:tab/>
      </w:r>
      <w:r>
        <w:rPr>
          <w:b/>
          <w:color w:val="FFFFFF"/>
        </w:rPr>
        <w:tab/>
      </w:r>
      <w:r>
        <w:rPr>
          <w:b/>
          <w:color w:val="FFFFFF"/>
        </w:rPr>
        <w:tab/>
      </w:r>
      <w:r>
        <w:rPr>
          <w:b/>
          <w:color w:val="FFFFFF"/>
        </w:rPr>
        <w:tab/>
      </w:r>
    </w:p>
    <w:p w14:paraId="29E92461" w14:textId="77777777" w:rsidR="00EC5FD4" w:rsidRDefault="004B169F">
      <w:r>
        <w:t xml:space="preserve">The following Key ADF 2 Learning Agenda questions will be addressed: </w:t>
      </w:r>
    </w:p>
    <w:p w14:paraId="70256637" w14:textId="77777777" w:rsidR="00EC5FD4" w:rsidRDefault="004B169F">
      <w:pPr>
        <w:numPr>
          <w:ilvl w:val="0"/>
          <w:numId w:val="3"/>
        </w:numPr>
        <w:pBdr>
          <w:top w:val="nil"/>
          <w:left w:val="nil"/>
          <w:bottom w:val="nil"/>
          <w:right w:val="nil"/>
          <w:between w:val="nil"/>
        </w:pBdr>
        <w:spacing w:after="0" w:line="240" w:lineRule="auto"/>
      </w:pPr>
      <w:r>
        <w:rPr>
          <w:color w:val="000000"/>
        </w:rPr>
        <w:t>What financial and value-added products and services do SHFs, including wom</w:t>
      </w:r>
      <w:r>
        <w:rPr>
          <w:color w:val="000000"/>
        </w:rPr>
        <w:t>en and youth, value most and why?</w:t>
      </w:r>
    </w:p>
    <w:p w14:paraId="65CF4909" w14:textId="77777777" w:rsidR="00EC5FD4" w:rsidRDefault="004B169F">
      <w:pPr>
        <w:numPr>
          <w:ilvl w:val="0"/>
          <w:numId w:val="3"/>
        </w:numPr>
        <w:pBdr>
          <w:top w:val="nil"/>
          <w:left w:val="nil"/>
          <w:bottom w:val="nil"/>
          <w:right w:val="nil"/>
          <w:between w:val="nil"/>
        </w:pBdr>
        <w:spacing w:after="0" w:line="240" w:lineRule="auto"/>
      </w:pPr>
      <w:r>
        <w:rPr>
          <w:color w:val="000000"/>
        </w:rPr>
        <w:t>How does bundling of products and services impact uptake and usage of digital financial services?</w:t>
      </w:r>
    </w:p>
    <w:p w14:paraId="5C31BE40" w14:textId="77777777" w:rsidR="00EC5FD4" w:rsidRDefault="004B169F">
      <w:pPr>
        <w:numPr>
          <w:ilvl w:val="0"/>
          <w:numId w:val="3"/>
        </w:numPr>
        <w:pBdr>
          <w:top w:val="nil"/>
          <w:left w:val="nil"/>
          <w:bottom w:val="nil"/>
          <w:right w:val="nil"/>
          <w:between w:val="nil"/>
        </w:pBdr>
        <w:spacing w:after="0" w:line="240" w:lineRule="auto"/>
      </w:pPr>
      <w:r>
        <w:rPr>
          <w:color w:val="000000"/>
        </w:rPr>
        <w:t>What capacity building tools have the highest impact on SHFs willingness and ability to use digital financial services?</w:t>
      </w:r>
    </w:p>
    <w:p w14:paraId="7B5C913C" w14:textId="77777777" w:rsidR="00EC5FD4" w:rsidRDefault="004B169F">
      <w:pPr>
        <w:numPr>
          <w:ilvl w:val="0"/>
          <w:numId w:val="3"/>
        </w:numPr>
        <w:pBdr>
          <w:top w:val="nil"/>
          <w:left w:val="nil"/>
          <w:bottom w:val="nil"/>
          <w:right w:val="nil"/>
          <w:between w:val="nil"/>
        </w:pBdr>
        <w:spacing w:after="0" w:line="240" w:lineRule="auto"/>
      </w:pPr>
      <w:r>
        <w:rPr>
          <w:color w:val="000000"/>
        </w:rPr>
        <w:t xml:space="preserve">How </w:t>
      </w:r>
      <w:r>
        <w:rPr>
          <w:color w:val="000000"/>
        </w:rPr>
        <w:t>and to what extent have ADF 2 partners have been successful to achieve scale and commercial sustainability?</w:t>
      </w:r>
    </w:p>
    <w:p w14:paraId="293CB1E5" w14:textId="77777777" w:rsidR="00EC5FD4" w:rsidRDefault="004B169F">
      <w:pPr>
        <w:numPr>
          <w:ilvl w:val="0"/>
          <w:numId w:val="3"/>
        </w:numPr>
        <w:pBdr>
          <w:top w:val="nil"/>
          <w:left w:val="nil"/>
          <w:bottom w:val="nil"/>
          <w:right w:val="nil"/>
          <w:between w:val="nil"/>
        </w:pBdr>
        <w:spacing w:after="0" w:line="240" w:lineRule="auto"/>
      </w:pPr>
      <w:r>
        <w:rPr>
          <w:color w:val="000000"/>
        </w:rPr>
        <w:t>What are the main drivers of success and failure of different partnership and bundled approaches?</w:t>
      </w:r>
    </w:p>
    <w:p w14:paraId="188164DA" w14:textId="77777777" w:rsidR="00EC5FD4" w:rsidRDefault="00EC5FD4">
      <w:pPr>
        <w:spacing w:after="0" w:line="240" w:lineRule="auto"/>
        <w:jc w:val="both"/>
      </w:pPr>
    </w:p>
    <w:p w14:paraId="3706BDB0" w14:textId="77777777" w:rsidR="00EC5FD4" w:rsidRDefault="004B169F">
      <w:pPr>
        <w:shd w:val="clear" w:color="auto" w:fill="B80000"/>
        <w:spacing w:after="120"/>
        <w:jc w:val="both"/>
        <w:rPr>
          <w:b/>
          <w:i/>
          <w:color w:val="FFFFFF"/>
        </w:rPr>
      </w:pPr>
      <w:r>
        <w:rPr>
          <w:b/>
          <w:color w:val="FFFFFF"/>
        </w:rPr>
        <w:t>Ownership/Control of Work Product/Publication</w:t>
      </w:r>
      <w:r>
        <w:rPr>
          <w:b/>
          <w:color w:val="FFFFFF"/>
        </w:rPr>
        <w:tab/>
      </w:r>
    </w:p>
    <w:p w14:paraId="18A7CF26" w14:textId="77777777" w:rsidR="00EC5FD4" w:rsidRDefault="004B169F">
      <w:pPr>
        <w:spacing w:after="480"/>
        <w:jc w:val="both"/>
      </w:pPr>
      <w:r>
        <w:t>Ma</w:t>
      </w:r>
      <w:r>
        <w:t xml:space="preserve">tters relating to ownership and control of work product and publication of materials produced during course of this engagement are addressed in the main contract agreement </w:t>
      </w:r>
      <w:proofErr w:type="gramStart"/>
      <w:r>
        <w:t>entered into</w:t>
      </w:r>
      <w:proofErr w:type="gramEnd"/>
      <w:r>
        <w:t xml:space="preserve"> between Mercy Corps and the Consultant for performance of services for </w:t>
      </w:r>
      <w:r>
        <w:t xml:space="preserve">AgriFin Digital Farmer II. </w:t>
      </w:r>
    </w:p>
    <w:p w14:paraId="78C29FD8" w14:textId="77777777" w:rsidR="00EC5FD4" w:rsidRDefault="004B169F">
      <w:pPr>
        <w:shd w:val="clear" w:color="auto" w:fill="B80000"/>
        <w:spacing w:after="120"/>
        <w:jc w:val="both"/>
        <w:rPr>
          <w:b/>
          <w:i/>
          <w:color w:val="FFFFFF"/>
        </w:rPr>
      </w:pPr>
      <w:r>
        <w:rPr>
          <w:b/>
          <w:color w:val="FFFFFF"/>
        </w:rPr>
        <w:t xml:space="preserve">Authorship and Acknowledgement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5D7B26C4" w14:textId="77777777" w:rsidR="00EC5FD4" w:rsidRDefault="004B169F">
      <w:pPr>
        <w:spacing w:after="480"/>
        <w:jc w:val="both"/>
      </w:pPr>
      <w:r>
        <w:t xml:space="preserve">Matters relating to authorship and acknowledgment of any materials produced by the Consultant </w:t>
      </w:r>
      <w:proofErr w:type="gramStart"/>
      <w:r>
        <w:t>during the course of</w:t>
      </w:r>
      <w:proofErr w:type="gramEnd"/>
      <w:r>
        <w:t xml:space="preserve"> this engagement are addressed in the main contract agreement entered into b</w:t>
      </w:r>
      <w:r>
        <w:t>etween Mercy Corps and the Consultant for performance of services for AgriFin Digital Farmer II.</w:t>
      </w:r>
    </w:p>
    <w:p w14:paraId="588B0C70" w14:textId="77777777" w:rsidR="00EC5FD4" w:rsidRDefault="004B169F">
      <w:pPr>
        <w:shd w:val="clear" w:color="auto" w:fill="B80000"/>
        <w:spacing w:after="120"/>
        <w:jc w:val="both"/>
        <w:rPr>
          <w:b/>
          <w:color w:val="FFFFFF"/>
        </w:rPr>
      </w:pPr>
      <w:r>
        <w:rPr>
          <w:b/>
          <w:color w:val="FFFFFF"/>
        </w:rPr>
        <w:t>Task Manager/Coordination/Reporting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6968F95B" w14:textId="77777777" w:rsidR="00EC5FD4" w:rsidRDefault="004B169F">
      <w:bookmarkStart w:id="5" w:name="_heading=h.30j0zll" w:colFirst="0" w:colLast="0"/>
      <w:bookmarkEnd w:id="5"/>
      <w:r>
        <w:lastRenderedPageBreak/>
        <w:t xml:space="preserve">The Task Manager for this engagement is the </w:t>
      </w:r>
      <w:proofErr w:type="spellStart"/>
      <w:r>
        <w:t>AgriFin’s</w:t>
      </w:r>
      <w:proofErr w:type="spellEnd"/>
      <w:r>
        <w:t xml:space="preserve"> Program Global Climate Technology Manager with oversight from </w:t>
      </w:r>
      <w:proofErr w:type="spellStart"/>
      <w:r>
        <w:t>AgriFin’s</w:t>
      </w:r>
      <w:proofErr w:type="spellEnd"/>
      <w:r>
        <w:t xml:space="preserve"> Deputy Program Director. The consultant will direct all communications to the ADF Task Manager.</w:t>
      </w:r>
    </w:p>
    <w:p w14:paraId="7B32FBA3" w14:textId="77777777" w:rsidR="00EC5FD4" w:rsidRDefault="00EC5FD4">
      <w:pPr>
        <w:widowControl w:val="0"/>
        <w:pBdr>
          <w:top w:val="nil"/>
          <w:left w:val="nil"/>
          <w:bottom w:val="nil"/>
          <w:right w:val="nil"/>
          <w:between w:val="nil"/>
        </w:pBdr>
        <w:spacing w:after="0"/>
      </w:pPr>
    </w:p>
    <w:p w14:paraId="6DEC8569" w14:textId="77777777" w:rsidR="00EC5FD4" w:rsidRDefault="004B169F">
      <w:pPr>
        <w:pStyle w:val="Heading1"/>
      </w:pPr>
      <w:r>
        <w:t>Endnotes</w:t>
      </w:r>
    </w:p>
    <w:p w14:paraId="25C70E3F" w14:textId="77777777" w:rsidR="00EC5FD4" w:rsidRDefault="004B169F">
      <w:pPr>
        <w:pBdr>
          <w:top w:val="nil"/>
          <w:left w:val="nil"/>
          <w:bottom w:val="nil"/>
          <w:right w:val="nil"/>
          <w:between w:val="nil"/>
        </w:pBdr>
        <w:spacing w:after="0" w:line="240" w:lineRule="auto"/>
        <w:jc w:val="both"/>
        <w:rPr>
          <w:color w:val="000000"/>
          <w:sz w:val="12"/>
          <w:szCs w:val="12"/>
        </w:rPr>
      </w:pPr>
      <w:r>
        <w:rPr>
          <w:sz w:val="12"/>
          <w:szCs w:val="12"/>
        </w:rPr>
        <w:t xml:space="preserve">1. </w:t>
      </w:r>
      <w:r>
        <w:rPr>
          <w:color w:val="000000"/>
          <w:sz w:val="12"/>
          <w:szCs w:val="12"/>
        </w:rPr>
        <w:t xml:space="preserve"> IFAD, Smallholders, food security, and the environment, 2013</w:t>
      </w:r>
    </w:p>
    <w:p w14:paraId="607A5F86" w14:textId="77777777" w:rsidR="00EC5FD4" w:rsidRDefault="004B169F">
      <w:pPr>
        <w:pBdr>
          <w:top w:val="nil"/>
          <w:left w:val="nil"/>
          <w:bottom w:val="nil"/>
          <w:right w:val="nil"/>
          <w:between w:val="nil"/>
        </w:pBdr>
        <w:spacing w:after="0" w:line="240" w:lineRule="auto"/>
        <w:ind w:left="180" w:hanging="180"/>
        <w:jc w:val="both"/>
        <w:rPr>
          <w:color w:val="000000"/>
          <w:sz w:val="12"/>
          <w:szCs w:val="12"/>
        </w:rPr>
      </w:pPr>
      <w:r>
        <w:rPr>
          <w:color w:val="000000"/>
          <w:sz w:val="12"/>
          <w:szCs w:val="12"/>
        </w:rPr>
        <w:t>2.  Peck, Anderson, “Segmentation of Smallholder Households: Meeting the Range of Financial Needs in Agricultural Families”, 2013.</w:t>
      </w:r>
    </w:p>
    <w:p w14:paraId="51AF9350" w14:textId="77777777" w:rsidR="00EC5FD4" w:rsidRDefault="004B169F">
      <w:pPr>
        <w:spacing w:after="0"/>
        <w:ind w:left="180" w:hanging="180"/>
        <w:jc w:val="both"/>
        <w:rPr>
          <w:sz w:val="12"/>
          <w:szCs w:val="12"/>
        </w:rPr>
      </w:pPr>
      <w:r>
        <w:rPr>
          <w:color w:val="000000"/>
          <w:sz w:val="12"/>
          <w:szCs w:val="12"/>
        </w:rPr>
        <w:t xml:space="preserve">3. </w:t>
      </w:r>
      <w:r>
        <w:rPr>
          <w:sz w:val="12"/>
          <w:szCs w:val="12"/>
        </w:rPr>
        <w:t xml:space="preserve"> </w:t>
      </w:r>
      <w:hyperlink r:id="rId9">
        <w:r>
          <w:rPr>
            <w:color w:val="000000"/>
            <w:sz w:val="12"/>
            <w:szCs w:val="12"/>
            <w:u w:val="single"/>
          </w:rPr>
          <w:t>New Partnership for Africa’s Development</w:t>
        </w:r>
      </w:hyperlink>
      <w:r>
        <w:rPr>
          <w:sz w:val="12"/>
          <w:szCs w:val="12"/>
        </w:rPr>
        <w:t xml:space="preserve">, &amp; </w:t>
      </w:r>
      <w:hyperlink r:id="rId10">
        <w:r>
          <w:rPr>
            <w:color w:val="000000"/>
            <w:sz w:val="12"/>
            <w:szCs w:val="12"/>
            <w:u w:val="single"/>
          </w:rPr>
          <w:t>http://w</w:t>
        </w:r>
        <w:r>
          <w:rPr>
            <w:color w:val="000000"/>
            <w:sz w:val="12"/>
            <w:szCs w:val="12"/>
            <w:u w:val="single"/>
          </w:rPr>
          <w:t>ww.ipsnews.net/2012/12/the-industrialisation-of-africas-smallholder-agriculture/</w:t>
        </w:r>
      </w:hyperlink>
      <w:r>
        <w:rPr>
          <w:sz w:val="12"/>
          <w:szCs w:val="12"/>
        </w:rPr>
        <w:t xml:space="preserve"> </w:t>
      </w:r>
    </w:p>
    <w:p w14:paraId="57B332A9" w14:textId="77777777" w:rsidR="00EC5FD4" w:rsidRDefault="004B169F">
      <w:pPr>
        <w:pBdr>
          <w:top w:val="nil"/>
          <w:left w:val="nil"/>
          <w:bottom w:val="nil"/>
          <w:right w:val="nil"/>
          <w:between w:val="nil"/>
        </w:pBdr>
        <w:spacing w:after="0" w:line="240" w:lineRule="auto"/>
        <w:ind w:left="180" w:hanging="180"/>
        <w:jc w:val="both"/>
        <w:rPr>
          <w:color w:val="000000"/>
          <w:sz w:val="12"/>
          <w:szCs w:val="12"/>
        </w:rPr>
      </w:pPr>
      <w:r>
        <w:rPr>
          <w:sz w:val="12"/>
          <w:szCs w:val="12"/>
        </w:rPr>
        <w:t xml:space="preserve">4. </w:t>
      </w:r>
      <w:r>
        <w:rPr>
          <w:color w:val="000000"/>
          <w:sz w:val="12"/>
          <w:szCs w:val="12"/>
        </w:rPr>
        <w:t xml:space="preserve"> Peck, Anderson, CGAP 2013</w:t>
      </w:r>
    </w:p>
    <w:p w14:paraId="10AB6BFE" w14:textId="77777777" w:rsidR="00EC5FD4" w:rsidRDefault="004B169F">
      <w:pPr>
        <w:pBdr>
          <w:top w:val="nil"/>
          <w:left w:val="nil"/>
          <w:bottom w:val="nil"/>
          <w:right w:val="nil"/>
          <w:between w:val="nil"/>
        </w:pBdr>
        <w:spacing w:after="0" w:line="240" w:lineRule="auto"/>
        <w:ind w:left="180" w:hanging="180"/>
        <w:jc w:val="both"/>
        <w:rPr>
          <w:color w:val="000000"/>
          <w:sz w:val="12"/>
          <w:szCs w:val="12"/>
        </w:rPr>
      </w:pPr>
      <w:r>
        <w:rPr>
          <w:color w:val="000000"/>
          <w:sz w:val="12"/>
          <w:szCs w:val="12"/>
        </w:rPr>
        <w:t>5.  AgriFin Facility Strategy. World Bank. 2010.</w:t>
      </w:r>
    </w:p>
    <w:p w14:paraId="1B5AA6A6" w14:textId="77777777" w:rsidR="00EC5FD4" w:rsidRDefault="004B169F">
      <w:pPr>
        <w:pBdr>
          <w:top w:val="nil"/>
          <w:left w:val="nil"/>
          <w:bottom w:val="nil"/>
          <w:right w:val="nil"/>
          <w:between w:val="nil"/>
        </w:pBdr>
        <w:spacing w:after="0" w:line="240" w:lineRule="auto"/>
        <w:ind w:left="180" w:hanging="180"/>
        <w:jc w:val="both"/>
        <w:rPr>
          <w:color w:val="000000"/>
          <w:sz w:val="12"/>
          <w:szCs w:val="12"/>
        </w:rPr>
      </w:pPr>
      <w:r>
        <w:rPr>
          <w:color w:val="000000"/>
          <w:sz w:val="12"/>
          <w:szCs w:val="12"/>
        </w:rPr>
        <w:t>6. Agriculture sector strategy 2010–2014, African Development Bank; World development report 20</w:t>
      </w:r>
      <w:r>
        <w:rPr>
          <w:color w:val="000000"/>
          <w:sz w:val="12"/>
          <w:szCs w:val="12"/>
        </w:rPr>
        <w:t>08: Agriculture for development, World Bank</w:t>
      </w:r>
    </w:p>
    <w:p w14:paraId="7FB7EAB1" w14:textId="77777777" w:rsidR="00EC5FD4" w:rsidRDefault="004B169F">
      <w:pPr>
        <w:pBdr>
          <w:top w:val="nil"/>
          <w:left w:val="nil"/>
          <w:bottom w:val="nil"/>
          <w:right w:val="nil"/>
          <w:between w:val="nil"/>
        </w:pBdr>
        <w:spacing w:after="0" w:line="240" w:lineRule="auto"/>
        <w:ind w:left="180" w:hanging="180"/>
        <w:jc w:val="both"/>
        <w:rPr>
          <w:color w:val="000000"/>
          <w:sz w:val="12"/>
          <w:szCs w:val="12"/>
        </w:rPr>
      </w:pPr>
      <w:r>
        <w:rPr>
          <w:color w:val="000000"/>
          <w:sz w:val="12"/>
          <w:szCs w:val="12"/>
        </w:rPr>
        <w:t>7.  Dalberg, 2012</w:t>
      </w:r>
    </w:p>
    <w:p w14:paraId="4DB397F0" w14:textId="77777777" w:rsidR="00EC5FD4" w:rsidRDefault="004B169F">
      <w:pPr>
        <w:pBdr>
          <w:top w:val="nil"/>
          <w:left w:val="nil"/>
          <w:bottom w:val="nil"/>
          <w:right w:val="nil"/>
          <w:between w:val="nil"/>
        </w:pBdr>
        <w:spacing w:after="0" w:line="240" w:lineRule="auto"/>
        <w:ind w:left="180" w:hanging="180"/>
        <w:jc w:val="both"/>
        <w:rPr>
          <w:color w:val="000000"/>
          <w:sz w:val="12"/>
          <w:szCs w:val="12"/>
        </w:rPr>
      </w:pPr>
      <w:r>
        <w:rPr>
          <w:color w:val="000000"/>
          <w:sz w:val="12"/>
          <w:szCs w:val="12"/>
        </w:rPr>
        <w:t>8.  McKinsey, “Lions Go Digital; The Internet’s Transformative Potential in Africa”, 2013.</w:t>
      </w:r>
    </w:p>
    <w:p w14:paraId="7DD8B3F7" w14:textId="77777777" w:rsidR="00EC5FD4" w:rsidRDefault="004B169F">
      <w:pPr>
        <w:pBdr>
          <w:top w:val="nil"/>
          <w:left w:val="nil"/>
          <w:bottom w:val="nil"/>
          <w:right w:val="nil"/>
          <w:between w:val="nil"/>
        </w:pBdr>
        <w:spacing w:after="0" w:line="240" w:lineRule="auto"/>
        <w:ind w:left="180" w:hanging="180"/>
        <w:jc w:val="both"/>
        <w:rPr>
          <w:color w:val="000000"/>
          <w:sz w:val="12"/>
          <w:szCs w:val="12"/>
        </w:rPr>
      </w:pPr>
      <w:r>
        <w:rPr>
          <w:color w:val="000000"/>
          <w:sz w:val="12"/>
          <w:szCs w:val="12"/>
        </w:rPr>
        <w:t>9.  McKinsey, “Lions go digital: The internet’s transformative potential in Africa”, Nov 2013.</w:t>
      </w:r>
    </w:p>
    <w:p w14:paraId="7D7D0C81" w14:textId="77777777" w:rsidR="00EC5FD4" w:rsidRDefault="004B169F">
      <w:pPr>
        <w:pBdr>
          <w:top w:val="nil"/>
          <w:left w:val="nil"/>
          <w:bottom w:val="nil"/>
          <w:right w:val="nil"/>
          <w:between w:val="nil"/>
        </w:pBdr>
        <w:spacing w:after="0" w:line="240" w:lineRule="auto"/>
        <w:ind w:left="180" w:hanging="180"/>
        <w:jc w:val="both"/>
        <w:rPr>
          <w:color w:val="000000"/>
          <w:sz w:val="12"/>
          <w:szCs w:val="12"/>
        </w:rPr>
      </w:pPr>
      <w:r>
        <w:rPr>
          <w:color w:val="000000"/>
          <w:sz w:val="12"/>
          <w:szCs w:val="12"/>
        </w:rPr>
        <w:t xml:space="preserve">10. </w:t>
      </w:r>
      <w:proofErr w:type="spellStart"/>
      <w:r>
        <w:rPr>
          <w:color w:val="000000"/>
          <w:sz w:val="12"/>
          <w:szCs w:val="12"/>
        </w:rPr>
        <w:t>Schm</w:t>
      </w:r>
      <w:r>
        <w:rPr>
          <w:color w:val="000000"/>
          <w:sz w:val="12"/>
          <w:szCs w:val="12"/>
        </w:rPr>
        <w:t>idhuber</w:t>
      </w:r>
      <w:proofErr w:type="spellEnd"/>
      <w:r>
        <w:rPr>
          <w:color w:val="000000"/>
          <w:sz w:val="12"/>
          <w:szCs w:val="12"/>
        </w:rPr>
        <w:t xml:space="preserve">, J., </w:t>
      </w:r>
      <w:proofErr w:type="spellStart"/>
      <w:r>
        <w:rPr>
          <w:color w:val="000000"/>
          <w:sz w:val="12"/>
          <w:szCs w:val="12"/>
        </w:rPr>
        <w:t>Bruinsma</w:t>
      </w:r>
      <w:proofErr w:type="spellEnd"/>
      <w:r>
        <w:rPr>
          <w:color w:val="000000"/>
          <w:sz w:val="12"/>
          <w:szCs w:val="12"/>
        </w:rPr>
        <w:t xml:space="preserve">, J., and </w:t>
      </w:r>
      <w:proofErr w:type="spellStart"/>
      <w:r>
        <w:rPr>
          <w:color w:val="000000"/>
          <w:sz w:val="12"/>
          <w:szCs w:val="12"/>
        </w:rPr>
        <w:t>Boedeker</w:t>
      </w:r>
      <w:proofErr w:type="spellEnd"/>
      <w:r>
        <w:rPr>
          <w:color w:val="000000"/>
          <w:sz w:val="12"/>
          <w:szCs w:val="12"/>
        </w:rPr>
        <w:t>, G, “Capital requirements for agriculture in developing countries to 2050,” Paper presented at the Expert Meeting on How to Feed the World in 2050 of the Food and Agriculture Organization of the United Nations, Rome,</w:t>
      </w:r>
      <w:r>
        <w:rPr>
          <w:color w:val="000000"/>
          <w:sz w:val="12"/>
          <w:szCs w:val="12"/>
        </w:rPr>
        <w:t xml:space="preserve"> Italy. Retrieved from ftp://ftp.fao.org/docrep/fao/012/ak974e/ak974e00.pdf</w:t>
      </w:r>
    </w:p>
    <w:sectPr w:rsidR="00EC5FD4">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F4ED" w14:textId="77777777" w:rsidR="004B169F" w:rsidRDefault="004B169F">
      <w:pPr>
        <w:spacing w:after="0" w:line="240" w:lineRule="auto"/>
      </w:pPr>
      <w:r>
        <w:separator/>
      </w:r>
    </w:p>
  </w:endnote>
  <w:endnote w:type="continuationSeparator" w:id="0">
    <w:p w14:paraId="2B5FB4C0" w14:textId="77777777" w:rsidR="004B169F" w:rsidRDefault="004B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ovanni Boo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66DD" w14:textId="77777777" w:rsidR="00EC5FD4" w:rsidRDefault="004B169F">
    <w:pPr>
      <w:jc w:val="right"/>
    </w:pPr>
    <w:r>
      <w:fldChar w:fldCharType="begin"/>
    </w:r>
    <w:r>
      <w:instrText>PAGE</w:instrText>
    </w:r>
    <w:r>
      <w:fldChar w:fldCharType="separate"/>
    </w:r>
    <w:r w:rsidR="00247E9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6BCF" w14:textId="77777777" w:rsidR="004B169F" w:rsidRDefault="004B169F">
      <w:pPr>
        <w:spacing w:after="0" w:line="240" w:lineRule="auto"/>
      </w:pPr>
      <w:r>
        <w:separator/>
      </w:r>
    </w:p>
  </w:footnote>
  <w:footnote w:type="continuationSeparator" w:id="0">
    <w:p w14:paraId="43FFBCFF" w14:textId="77777777" w:rsidR="004B169F" w:rsidRDefault="004B169F">
      <w:pPr>
        <w:spacing w:after="0" w:line="240" w:lineRule="auto"/>
      </w:pPr>
      <w:r>
        <w:continuationSeparator/>
      </w:r>
    </w:p>
  </w:footnote>
  <w:footnote w:id="1">
    <w:p w14:paraId="7FC6EDC3" w14:textId="77777777" w:rsidR="00EC5FD4" w:rsidRDefault="004B169F">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IFAD, Smallholders, food security, and the environment</w:t>
      </w:r>
      <w:r>
        <w:rPr>
          <w:rFonts w:ascii="Cambria" w:eastAsia="Cambria" w:hAnsi="Cambria" w:cs="Cambria"/>
          <w:color w:val="808284"/>
          <w:sz w:val="10"/>
          <w:szCs w:val="10"/>
        </w:rPr>
        <w:t xml:space="preserve">, </w:t>
      </w:r>
      <w:r>
        <w:rPr>
          <w:rFonts w:ascii="Cambria" w:eastAsia="Cambria" w:hAnsi="Cambria" w:cs="Cambria"/>
          <w:color w:val="000000"/>
          <w:sz w:val="10"/>
          <w:szCs w:val="10"/>
        </w:rPr>
        <w:t>2013</w:t>
      </w:r>
    </w:p>
  </w:footnote>
  <w:footnote w:id="2">
    <w:p w14:paraId="0D9C57BD" w14:textId="77777777" w:rsidR="00EC5FD4" w:rsidRDefault="004B169F">
      <w:pPr>
        <w:spacing w:after="0"/>
        <w:ind w:left="180" w:hanging="180"/>
        <w:rPr>
          <w:sz w:val="10"/>
          <w:szCs w:val="10"/>
        </w:rPr>
      </w:pPr>
      <w:r>
        <w:rPr>
          <w:vertAlign w:val="superscript"/>
        </w:rPr>
        <w:footnoteRef/>
      </w:r>
      <w:r>
        <w:rPr>
          <w:sz w:val="10"/>
          <w:szCs w:val="10"/>
        </w:rPr>
        <w:t xml:space="preserve"> IFAD, “Sub-Saharan Africa: The state of smallholders in agriculture”, Schonberger and Delaney 2011.</w:t>
      </w:r>
    </w:p>
  </w:footnote>
  <w:footnote w:id="3">
    <w:p w14:paraId="41DEB7EA" w14:textId="77777777" w:rsidR="00EC5FD4" w:rsidRDefault="004B169F">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Peck, Anderson, “Segmentation of Smallholder Households: Meeting the Range of Financial Needs in Agricultural Families”, CGAP Focus Note #85, April 2013.</w:t>
      </w:r>
    </w:p>
  </w:footnote>
  <w:footnote w:id="4">
    <w:p w14:paraId="18426613" w14:textId="77777777" w:rsidR="00EC5FD4" w:rsidRDefault="004B169F">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5">
    <w:p w14:paraId="4652A71E" w14:textId="77777777" w:rsidR="00EC5FD4" w:rsidRDefault="004B169F">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6">
    <w:p w14:paraId="6BE1F6EC" w14:textId="77777777" w:rsidR="00EC5FD4" w:rsidRDefault="004B169F">
      <w:pPr>
        <w:pBdr>
          <w:top w:val="nil"/>
          <w:left w:val="nil"/>
          <w:bottom w:val="nil"/>
          <w:right w:val="nil"/>
          <w:between w:val="nil"/>
        </w:pBdr>
        <w:spacing w:after="0" w:line="240" w:lineRule="auto"/>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MasterCard Foundation, “Inflection Point: Unlocking growth in the e</w:t>
      </w:r>
      <w:r>
        <w:rPr>
          <w:rFonts w:ascii="Cambria" w:eastAsia="Cambria" w:hAnsi="Cambria" w:cs="Cambria"/>
          <w:color w:val="000000"/>
          <w:sz w:val="10"/>
          <w:szCs w:val="10"/>
        </w:rPr>
        <w:t>ra of farmer finance”, April 2016</w:t>
      </w:r>
    </w:p>
  </w:footnote>
  <w:footnote w:id="7">
    <w:p w14:paraId="56CAB172" w14:textId="77777777" w:rsidR="00EC5FD4" w:rsidRDefault="004B169F">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AD30" w14:textId="77777777" w:rsidR="00EC5FD4" w:rsidRDefault="004B169F">
    <w:pPr>
      <w:pBdr>
        <w:top w:val="nil"/>
        <w:left w:val="nil"/>
        <w:bottom w:val="nil"/>
        <w:right w:val="nil"/>
        <w:between w:val="nil"/>
      </w:pBdr>
      <w:tabs>
        <w:tab w:val="right" w:pos="7200"/>
      </w:tabs>
      <w:spacing w:after="0" w:line="240" w:lineRule="auto"/>
      <w:rPr>
        <w:color w:val="000000"/>
      </w:rPr>
    </w:pPr>
    <w:r>
      <w:rPr>
        <w:color w:val="000000"/>
      </w:rPr>
      <w:tab/>
    </w:r>
    <w:r>
      <w:rPr>
        <w:color w:val="000000"/>
      </w:rPr>
      <w:tab/>
    </w:r>
    <w:r>
      <w:rPr>
        <w:noProof/>
      </w:rPr>
      <w:drawing>
        <wp:anchor distT="0" distB="0" distL="114300" distR="114300" simplePos="0" relativeHeight="251658240" behindDoc="0" locked="0" layoutInCell="1" hidden="0" allowOverlap="1" wp14:anchorId="02186F35" wp14:editId="7E6EE7FE">
          <wp:simplePos x="0" y="0"/>
          <wp:positionH relativeFrom="column">
            <wp:posOffset>-96977</wp:posOffset>
          </wp:positionH>
          <wp:positionV relativeFrom="paragraph">
            <wp:posOffset>-159324</wp:posOffset>
          </wp:positionV>
          <wp:extent cx="817418" cy="304800"/>
          <wp:effectExtent l="0" t="0" r="0" b="0"/>
          <wp:wrapSquare wrapText="bothSides" distT="0" distB="0" distL="114300" distR="114300"/>
          <wp:docPr id="313"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817418" cy="304800"/>
                  </a:xfrm>
                  <a:prstGeom prst="rect">
                    <a:avLst/>
                  </a:prstGeom>
                  <a:ln/>
                </pic:spPr>
              </pic:pic>
            </a:graphicData>
          </a:graphic>
        </wp:anchor>
      </w:drawing>
    </w:r>
  </w:p>
  <w:p w14:paraId="4775D717" w14:textId="77777777" w:rsidR="00EC5FD4" w:rsidRDefault="00EC5FD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81B10"/>
    <w:multiLevelType w:val="multilevel"/>
    <w:tmpl w:val="E6CE0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A407B5"/>
    <w:multiLevelType w:val="multilevel"/>
    <w:tmpl w:val="AC18C0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DF12D4C"/>
    <w:multiLevelType w:val="multilevel"/>
    <w:tmpl w:val="0E064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234373"/>
    <w:multiLevelType w:val="multilevel"/>
    <w:tmpl w:val="CACC7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D4"/>
    <w:rsid w:val="00247E92"/>
    <w:rsid w:val="004B169F"/>
    <w:rsid w:val="00B17F9E"/>
    <w:rsid w:val="00EC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D703"/>
  <w15:docId w15:val="{FDB2F5D7-1489-45AA-8418-BBFD8730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semiHidden/>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semiHidden/>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96968"/>
    <w:pPr>
      <w:ind w:left="720"/>
      <w:contextualSpacing/>
    </w:pPr>
  </w:style>
  <w:style w:type="character" w:customStyle="1" w:styleId="ListParagraphChar">
    <w:name w:val="List Paragraph Char"/>
    <w:aliases w:val="Bullet List Char,FooterText Char,List with no spacing Char"/>
    <w:basedOn w:val="DefaultParagraphFont"/>
    <w:link w:val="ListParagraph"/>
    <w:uiPriority w:val="34"/>
    <w:rsid w:val="00B50E25"/>
  </w:style>
  <w:style w:type="paragraph" w:customStyle="1" w:styleId="Default">
    <w:name w:val="Default"/>
    <w:rsid w:val="00B02285"/>
    <w:pPr>
      <w:autoSpaceDE w:val="0"/>
      <w:autoSpaceDN w:val="0"/>
      <w:adjustRightInd w:val="0"/>
      <w:spacing w:after="0" w:line="240" w:lineRule="auto"/>
    </w:pPr>
    <w:rPr>
      <w:rFonts w:eastAsiaTheme="minorEastAsia"/>
      <w:color w:val="000000"/>
      <w:sz w:val="24"/>
      <w:szCs w:val="24"/>
    </w:rPr>
  </w:style>
  <w:style w:type="character" w:customStyle="1" w:styleId="A1">
    <w:name w:val="A1"/>
    <w:uiPriority w:val="99"/>
    <w:rsid w:val="00B02285"/>
    <w:rPr>
      <w:rFonts w:cs="Giovanni Book"/>
      <w:color w:val="808284"/>
      <w:sz w:val="52"/>
      <w:szCs w:val="52"/>
    </w:rPr>
  </w:style>
  <w:style w:type="paragraph" w:styleId="EndnoteText">
    <w:name w:val="endnote text"/>
    <w:basedOn w:val="Normal"/>
    <w:link w:val="EndnoteTextChar"/>
    <w:uiPriority w:val="99"/>
    <w:unhideWhenUsed/>
    <w:rsid w:val="00B02285"/>
    <w:pPr>
      <w:spacing w:after="0" w:line="240" w:lineRule="auto"/>
    </w:pPr>
    <w:rPr>
      <w:rFonts w:asciiTheme="minorHAnsi" w:eastAsia="Times New Roman" w:hAnsiTheme="minorHAnsi" w:cs="Times New Roman"/>
      <w:sz w:val="24"/>
      <w:szCs w:val="24"/>
    </w:rPr>
  </w:style>
  <w:style w:type="character" w:customStyle="1" w:styleId="EndnoteTextChar">
    <w:name w:val="Endnote Text Char"/>
    <w:basedOn w:val="DefaultParagraphFont"/>
    <w:link w:val="EndnoteText"/>
    <w:uiPriority w:val="99"/>
    <w:rsid w:val="00B02285"/>
    <w:rPr>
      <w:rFonts w:asciiTheme="minorHAnsi" w:eastAsia="Times New Roman" w:hAnsiTheme="minorHAnsi" w:cs="Times New Roman"/>
      <w:sz w:val="24"/>
      <w:szCs w:val="24"/>
    </w:rPr>
  </w:style>
  <w:style w:type="character" w:styleId="EndnoteReference">
    <w:name w:val="endnote reference"/>
    <w:basedOn w:val="DefaultParagraphFont"/>
    <w:uiPriority w:val="99"/>
    <w:unhideWhenUsed/>
    <w:rsid w:val="00B02285"/>
    <w:rPr>
      <w:vertAlign w:val="superscript"/>
    </w:rPr>
  </w:style>
  <w:style w:type="paragraph" w:customStyle="1" w:styleId="gmail-msonormal">
    <w:name w:val="gmail-msonormal"/>
    <w:basedOn w:val="Normal"/>
    <w:rsid w:val="00061984"/>
    <w:pPr>
      <w:spacing w:before="100" w:beforeAutospacing="1" w:after="100" w:afterAutospacing="1" w:line="240" w:lineRule="auto"/>
    </w:pPr>
    <w:rPr>
      <w:rFonts w:ascii="Times New Roman" w:eastAsiaTheme="minorHAnsi" w:hAnsi="Times New Roman" w:cs="Times New Roman"/>
      <w:sz w:val="24"/>
      <w:szCs w:val="24"/>
    </w:rPr>
  </w:style>
  <w:style w:type="paragraph" w:styleId="NormalWeb">
    <w:name w:val="Normal (Web)"/>
    <w:basedOn w:val="Normal"/>
    <w:uiPriority w:val="99"/>
    <w:semiHidden/>
    <w:unhideWhenUsed/>
    <w:rsid w:val="002F2C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F2C91"/>
  </w:style>
  <w:style w:type="character" w:styleId="Hyperlink">
    <w:name w:val="Hyperlink"/>
    <w:basedOn w:val="DefaultParagraphFont"/>
    <w:uiPriority w:val="99"/>
    <w:semiHidden/>
    <w:unhideWhenUsed/>
    <w:rsid w:val="002F2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a.me/254711943939?text=h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psnews.net/2012/12/the-industrialisation-of-africas-smallholder-agriculture/" TargetMode="External"/><Relationship Id="rId4" Type="http://schemas.openxmlformats.org/officeDocument/2006/relationships/settings" Target="settings.xml"/><Relationship Id="rId9" Type="http://schemas.openxmlformats.org/officeDocument/2006/relationships/hyperlink" Target="http://www.ipsnews.net/2012/11/striving-to-increase-african-food-productivi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wR7i2RGy207T90P/ceeAdjKhzg==">AMUW2mWSMlTMlSbnTLgAaDsQnh/Z9QHp/B7rPR/GvqOaBOsfO5IStKP01bDvBT2e5VBfABcmpIJs6Hv5zq4X/Y8N1bNFGr+XpmL3wfZT0lgpbw5SNu4imUS1/fdMOyC2yMynBgb3EdX0zk8rOcjMCcp5XUc9U5OcxkMKgro7Thy1vqBLiqhuRPA=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3357</Words>
  <Characters>19140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marcusalleynwatson</dc:creator>
  <cp:lastModifiedBy>Mary Muithya Nzaumi</cp:lastModifiedBy>
  <cp:revision>2</cp:revision>
  <dcterms:created xsi:type="dcterms:W3CDTF">2021-12-02T08:09:00Z</dcterms:created>
  <dcterms:modified xsi:type="dcterms:W3CDTF">2022-02-03T09:07:00Z</dcterms:modified>
</cp:coreProperties>
</file>