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A6DA0" w14:textId="77777777" w:rsidR="007F1E20" w:rsidRDefault="00066B76">
      <w:pPr>
        <w:spacing w:after="360"/>
        <w:jc w:val="center"/>
        <w:rPr>
          <w:rFonts w:ascii="Calibri" w:eastAsia="Calibri" w:hAnsi="Calibri" w:cs="Calibri"/>
          <w:b/>
          <w:sz w:val="22"/>
          <w:szCs w:val="22"/>
        </w:rPr>
      </w:pPr>
      <w:bookmarkStart w:id="0" w:name="_heading=h.gjdgxs" w:colFirst="0" w:colLast="0"/>
      <w:bookmarkEnd w:id="0"/>
      <w:r>
        <w:rPr>
          <w:rFonts w:ascii="Calibri" w:eastAsia="Calibri" w:hAnsi="Calibri" w:cs="Calibri"/>
          <w:b/>
          <w:sz w:val="22"/>
          <w:szCs w:val="22"/>
        </w:rPr>
        <w:t xml:space="preserve">Scope of Work </w:t>
      </w:r>
    </w:p>
    <w:p w14:paraId="019C76DC" w14:textId="77777777" w:rsidR="007F1E20" w:rsidRDefault="00066B76">
      <w:pPr>
        <w:jc w:val="both"/>
        <w:rPr>
          <w:rFonts w:ascii="Calibri" w:eastAsia="Calibri" w:hAnsi="Calibri" w:cs="Calibri"/>
          <w:sz w:val="22"/>
          <w:szCs w:val="22"/>
        </w:rPr>
      </w:pPr>
      <w:r>
        <w:rPr>
          <w:rFonts w:ascii="Calibri" w:eastAsia="Calibri" w:hAnsi="Calibri" w:cs="Calibri"/>
          <w:b/>
          <w:sz w:val="22"/>
          <w:szCs w:val="22"/>
        </w:rPr>
        <w:t>Consultant:</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Individual Consultant</w:t>
      </w:r>
    </w:p>
    <w:p w14:paraId="6A888054" w14:textId="77777777" w:rsidR="007F1E20" w:rsidRDefault="00066B76">
      <w:pPr>
        <w:ind w:left="2160" w:hanging="2160"/>
        <w:jc w:val="both"/>
        <w:rPr>
          <w:rFonts w:ascii="Calibri" w:eastAsia="Calibri" w:hAnsi="Calibri" w:cs="Calibri"/>
          <w:sz w:val="22"/>
          <w:szCs w:val="22"/>
        </w:rPr>
      </w:pPr>
      <w:r>
        <w:rPr>
          <w:rFonts w:ascii="Calibri" w:eastAsia="Calibri" w:hAnsi="Calibri" w:cs="Calibri"/>
          <w:b/>
          <w:sz w:val="22"/>
          <w:szCs w:val="22"/>
        </w:rPr>
        <w:t>Program:</w:t>
      </w:r>
      <w:r>
        <w:rPr>
          <w:rFonts w:ascii="Calibri" w:eastAsia="Calibri" w:hAnsi="Calibri" w:cs="Calibri"/>
          <w:sz w:val="22"/>
          <w:szCs w:val="22"/>
        </w:rPr>
        <w:t xml:space="preserve">  </w:t>
      </w:r>
      <w:r>
        <w:rPr>
          <w:rFonts w:ascii="Calibri" w:eastAsia="Calibri" w:hAnsi="Calibri" w:cs="Calibri"/>
          <w:sz w:val="22"/>
          <w:szCs w:val="22"/>
        </w:rPr>
        <w:tab/>
        <w:t>GIZ DAA / OKTA- Sprout Smart Farmer Innovation (SSFI)</w:t>
      </w:r>
    </w:p>
    <w:p w14:paraId="11B00F61" w14:textId="77777777" w:rsidR="007F1E20" w:rsidRDefault="00066B76">
      <w:pPr>
        <w:ind w:left="2160" w:hanging="2160"/>
        <w:jc w:val="both"/>
        <w:rPr>
          <w:rFonts w:ascii="Calibri" w:eastAsia="Calibri" w:hAnsi="Calibri" w:cs="Calibri"/>
          <w:sz w:val="22"/>
          <w:szCs w:val="22"/>
        </w:rPr>
      </w:pPr>
      <w:r>
        <w:rPr>
          <w:rFonts w:ascii="Calibri" w:eastAsia="Calibri" w:hAnsi="Calibri" w:cs="Calibri"/>
          <w:b/>
          <w:sz w:val="22"/>
          <w:szCs w:val="22"/>
        </w:rPr>
        <w:t>Scope of Project:</w:t>
      </w:r>
      <w:r>
        <w:rPr>
          <w:rFonts w:ascii="Calibri" w:eastAsia="Calibri" w:hAnsi="Calibri" w:cs="Calibri"/>
          <w:b/>
          <w:sz w:val="22"/>
          <w:szCs w:val="22"/>
        </w:rPr>
        <w:tab/>
      </w:r>
      <w:r>
        <w:rPr>
          <w:rFonts w:ascii="Calibri" w:eastAsia="Calibri" w:hAnsi="Calibri" w:cs="Calibri"/>
          <w:sz w:val="22"/>
          <w:szCs w:val="22"/>
        </w:rPr>
        <w:t>Technology Architect - Sprout Platform Consultant</w:t>
      </w:r>
    </w:p>
    <w:p w14:paraId="2A4ABAA8" w14:textId="1F71D569" w:rsidR="007F1E20" w:rsidRDefault="00066B76">
      <w:pPr>
        <w:jc w:val="both"/>
        <w:rPr>
          <w:rFonts w:ascii="Calibri" w:eastAsia="Calibri" w:hAnsi="Calibri" w:cs="Calibri"/>
          <w:sz w:val="22"/>
          <w:szCs w:val="22"/>
        </w:rPr>
      </w:pPr>
      <w:r>
        <w:rPr>
          <w:rFonts w:ascii="Calibri" w:eastAsia="Calibri" w:hAnsi="Calibri" w:cs="Calibri"/>
          <w:b/>
          <w:sz w:val="22"/>
          <w:szCs w:val="22"/>
        </w:rPr>
        <w:t>Country:</w:t>
      </w:r>
      <w:r>
        <w:rPr>
          <w:rFonts w:ascii="Calibri" w:eastAsia="Calibri" w:hAnsi="Calibri" w:cs="Calibri"/>
          <w:sz w:val="22"/>
          <w:szCs w:val="22"/>
        </w:rPr>
        <w:tab/>
      </w:r>
      <w:r>
        <w:rPr>
          <w:rFonts w:ascii="Calibri" w:eastAsia="Calibri" w:hAnsi="Calibri" w:cs="Calibri"/>
          <w:sz w:val="22"/>
          <w:szCs w:val="22"/>
        </w:rPr>
        <w:tab/>
      </w:r>
      <w:r w:rsidR="008B77BC">
        <w:rPr>
          <w:rFonts w:ascii="Calibri" w:eastAsia="Calibri" w:hAnsi="Calibri" w:cs="Calibri"/>
          <w:sz w:val="22"/>
          <w:szCs w:val="22"/>
        </w:rPr>
        <w:t>Regional (</w:t>
      </w:r>
      <w:r>
        <w:rPr>
          <w:rFonts w:ascii="Calibri" w:eastAsia="Calibri" w:hAnsi="Calibri" w:cs="Calibri"/>
          <w:sz w:val="22"/>
          <w:szCs w:val="22"/>
        </w:rPr>
        <w:t xml:space="preserve">Ethiopia, Kenya, </w:t>
      </w:r>
      <w:r w:rsidR="008B77BC">
        <w:rPr>
          <w:rFonts w:ascii="Calibri" w:eastAsia="Calibri" w:hAnsi="Calibri" w:cs="Calibri"/>
          <w:sz w:val="22"/>
          <w:szCs w:val="22"/>
        </w:rPr>
        <w:t xml:space="preserve">and </w:t>
      </w:r>
      <w:r>
        <w:rPr>
          <w:rFonts w:ascii="Calibri" w:eastAsia="Calibri" w:hAnsi="Calibri" w:cs="Calibri"/>
          <w:sz w:val="22"/>
          <w:szCs w:val="22"/>
        </w:rPr>
        <w:t>Nigeria</w:t>
      </w:r>
      <w:r w:rsidR="008B77BC">
        <w:rPr>
          <w:rFonts w:ascii="Calibri" w:eastAsia="Calibri" w:hAnsi="Calibri" w:cs="Calibri"/>
          <w:sz w:val="22"/>
          <w:szCs w:val="22"/>
        </w:rPr>
        <w:t>)</w:t>
      </w:r>
      <w:r>
        <w:rPr>
          <w:rFonts w:ascii="Calibri" w:eastAsia="Calibri" w:hAnsi="Calibri" w:cs="Calibri"/>
          <w:sz w:val="22"/>
          <w:szCs w:val="22"/>
        </w:rPr>
        <w:t xml:space="preserve"> </w:t>
      </w:r>
    </w:p>
    <w:p w14:paraId="0FE77E46" w14:textId="77777777" w:rsidR="007F1E20" w:rsidRDefault="00066B76">
      <w:pPr>
        <w:jc w:val="both"/>
        <w:rPr>
          <w:rFonts w:ascii="Calibri" w:eastAsia="Calibri" w:hAnsi="Calibri" w:cs="Calibri"/>
          <w:sz w:val="22"/>
          <w:szCs w:val="22"/>
        </w:rPr>
      </w:pPr>
      <w:r>
        <w:rPr>
          <w:rFonts w:ascii="Calibri" w:eastAsia="Calibri" w:hAnsi="Calibri" w:cs="Calibri"/>
          <w:b/>
          <w:sz w:val="22"/>
          <w:szCs w:val="22"/>
        </w:rPr>
        <w:t>From:</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30 Feb 2022</w:t>
      </w:r>
    </w:p>
    <w:p w14:paraId="3EE40298" w14:textId="77777777" w:rsidR="007F1E20" w:rsidRDefault="00066B76">
      <w:pPr>
        <w:rPr>
          <w:rFonts w:ascii="Calibri" w:eastAsia="Calibri" w:hAnsi="Calibri" w:cs="Calibri"/>
          <w:sz w:val="22"/>
          <w:szCs w:val="22"/>
        </w:rPr>
      </w:pPr>
      <w:r>
        <w:rPr>
          <w:rFonts w:ascii="Calibri" w:eastAsia="Calibri" w:hAnsi="Calibri" w:cs="Calibri"/>
          <w:b/>
          <w:sz w:val="22"/>
          <w:szCs w:val="22"/>
        </w:rPr>
        <w:t>To:</w:t>
      </w:r>
      <w:r>
        <w:rPr>
          <w:rFonts w:ascii="Calibri" w:eastAsia="Calibri" w:hAnsi="Calibri" w:cs="Calibri"/>
          <w:b/>
          <w:sz w:val="22"/>
          <w:szCs w:val="22"/>
        </w:rPr>
        <w:tab/>
      </w:r>
      <w:r>
        <w:rPr>
          <w:rFonts w:ascii="Calibri" w:eastAsia="Calibri" w:hAnsi="Calibri" w:cs="Calibri"/>
          <w:sz w:val="22"/>
          <w:szCs w:val="22"/>
        </w:rPr>
        <w:tab/>
      </w:r>
      <w:r>
        <w:rPr>
          <w:rFonts w:ascii="Calibri" w:eastAsia="Calibri" w:hAnsi="Calibri" w:cs="Calibri"/>
          <w:sz w:val="22"/>
          <w:szCs w:val="22"/>
        </w:rPr>
        <w:tab/>
        <w:t>28 Feb 2024</w:t>
      </w:r>
    </w:p>
    <w:p w14:paraId="4C445FC7" w14:textId="77777777" w:rsidR="007F1E20" w:rsidRDefault="00066B76">
      <w:pPr>
        <w:jc w:val="both"/>
        <w:rPr>
          <w:rFonts w:ascii="Calibri" w:eastAsia="Calibri" w:hAnsi="Calibri" w:cs="Calibri"/>
          <w:sz w:val="22"/>
          <w:szCs w:val="22"/>
        </w:rPr>
      </w:pPr>
      <w:r>
        <w:rPr>
          <w:rFonts w:ascii="Calibri" w:eastAsia="Calibri" w:hAnsi="Calibri" w:cs="Calibri"/>
          <w:b/>
          <w:sz w:val="22"/>
          <w:szCs w:val="22"/>
        </w:rPr>
        <w:t>Task Manager:</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 xml:space="preserve">D-CSA Program Director and Sprout Lead </w:t>
      </w:r>
    </w:p>
    <w:p w14:paraId="761B37F8" w14:textId="77777777" w:rsidR="007F1E20" w:rsidRDefault="00066B76">
      <w:pPr>
        <w:jc w:val="both"/>
        <w:rPr>
          <w:rFonts w:ascii="Calibri" w:eastAsia="Calibri" w:hAnsi="Calibri" w:cs="Calibri"/>
          <w:sz w:val="22"/>
          <w:szCs w:val="22"/>
        </w:rPr>
      </w:pPr>
      <w:r>
        <w:rPr>
          <w:rFonts w:ascii="Calibri" w:eastAsia="Calibri" w:hAnsi="Calibri" w:cs="Calibri"/>
          <w:b/>
          <w:sz w:val="22"/>
          <w:szCs w:val="22"/>
        </w:rPr>
        <w:t>Technical Support:</w:t>
      </w:r>
      <w:r>
        <w:rPr>
          <w:rFonts w:ascii="Calibri" w:eastAsia="Calibri" w:hAnsi="Calibri" w:cs="Calibri"/>
          <w:sz w:val="22"/>
          <w:szCs w:val="22"/>
        </w:rPr>
        <w:t xml:space="preserve"> </w:t>
      </w:r>
      <w:r>
        <w:rPr>
          <w:rFonts w:ascii="Calibri" w:eastAsia="Calibri" w:hAnsi="Calibri" w:cs="Calibri"/>
          <w:sz w:val="22"/>
          <w:szCs w:val="22"/>
        </w:rPr>
        <w:tab/>
        <w:t>ADF II Technical Team</w:t>
      </w:r>
      <w:r>
        <w:rPr>
          <w:rFonts w:ascii="Calibri" w:eastAsia="Calibri" w:hAnsi="Calibri" w:cs="Calibri"/>
          <w:b/>
          <w:sz w:val="22"/>
          <w:szCs w:val="22"/>
        </w:rPr>
        <w:tab/>
      </w:r>
    </w:p>
    <w:p w14:paraId="0D3F2DC4" w14:textId="77777777" w:rsidR="007F1E20" w:rsidRDefault="007F1E20">
      <w:pPr>
        <w:jc w:val="both"/>
        <w:rPr>
          <w:rFonts w:ascii="Calibri" w:eastAsia="Calibri" w:hAnsi="Calibri" w:cs="Calibri"/>
          <w:sz w:val="22"/>
          <w:szCs w:val="22"/>
        </w:rPr>
      </w:pPr>
    </w:p>
    <w:p w14:paraId="4BCB77AB" w14:textId="77777777" w:rsidR="007F1E20" w:rsidRDefault="00066B76">
      <w:pPr>
        <w:shd w:val="clear" w:color="auto" w:fill="B80000"/>
        <w:spacing w:after="120"/>
        <w:jc w:val="both"/>
        <w:rPr>
          <w:rFonts w:ascii="Calibri" w:eastAsia="Calibri" w:hAnsi="Calibri" w:cs="Calibri"/>
          <w:b/>
          <w:color w:val="FFFFFF"/>
          <w:sz w:val="22"/>
          <w:szCs w:val="22"/>
        </w:rPr>
      </w:pPr>
      <w:r>
        <w:rPr>
          <w:rFonts w:ascii="Calibri" w:eastAsia="Calibri" w:hAnsi="Calibri" w:cs="Calibri"/>
          <w:b/>
          <w:color w:val="FFFFFF"/>
          <w:sz w:val="22"/>
          <w:szCs w:val="22"/>
        </w:rPr>
        <w:t>Program Context</w:t>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shd w:val="clear" w:color="auto" w:fill="B80000"/>
        </w:rPr>
        <w:tab/>
      </w:r>
      <w:r>
        <w:rPr>
          <w:rFonts w:ascii="Calibri" w:eastAsia="Calibri" w:hAnsi="Calibri" w:cs="Calibri"/>
          <w:b/>
          <w:color w:val="FFFFFF"/>
          <w:sz w:val="22"/>
          <w:szCs w:val="22"/>
          <w:shd w:val="clear" w:color="auto" w:fill="B80000"/>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p>
    <w:p w14:paraId="57BAAF31" w14:textId="77777777" w:rsidR="007F1E20" w:rsidRDefault="00066B76">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Nearly one and a half billion poor people live on less than US$1.25 a day. One billion of them live in rural areas where agriculture is their main source of livelihood</w:t>
      </w:r>
      <w:r>
        <w:rPr>
          <w:rFonts w:ascii="Calibri" w:eastAsia="Calibri" w:hAnsi="Calibri" w:cs="Calibri"/>
          <w:color w:val="000000"/>
          <w:sz w:val="22"/>
          <w:szCs w:val="22"/>
          <w:vertAlign w:val="superscript"/>
        </w:rPr>
        <w:footnoteReference w:id="1"/>
      </w:r>
      <w:r>
        <w:rPr>
          <w:rFonts w:ascii="Calibri" w:eastAsia="Calibri" w:hAnsi="Calibri" w:cs="Calibri"/>
          <w:color w:val="000000"/>
          <w:sz w:val="22"/>
          <w:szCs w:val="22"/>
        </w:rPr>
        <w:t>. An estimated 70 million Small Holder Farmers (SHF) live in Sub Saharan Africa, over half of whom are women</w:t>
      </w:r>
      <w:r>
        <w:rPr>
          <w:rFonts w:ascii="Calibri" w:eastAsia="Calibri" w:hAnsi="Calibri" w:cs="Calibri"/>
          <w:color w:val="000000"/>
          <w:sz w:val="22"/>
          <w:szCs w:val="22"/>
          <w:vertAlign w:val="superscript"/>
        </w:rPr>
        <w:footnoteReference w:id="2"/>
      </w:r>
      <w:r>
        <w:rPr>
          <w:rFonts w:ascii="Calibri" w:eastAsia="Calibri" w:hAnsi="Calibri" w:cs="Calibri"/>
          <w:color w:val="000000"/>
          <w:sz w:val="22"/>
          <w:szCs w:val="22"/>
        </w:rPr>
        <w:t>. Smallholders, who typically farm two hectares or less, provide over 80% of the food consumed in a large part of the developing world, contributing significantly to poverty reduction and food security</w:t>
      </w:r>
      <w:r>
        <w:rPr>
          <w:rFonts w:ascii="Calibri" w:eastAsia="Calibri" w:hAnsi="Calibri" w:cs="Calibri"/>
          <w:color w:val="000000"/>
          <w:sz w:val="22"/>
          <w:szCs w:val="22"/>
          <w:vertAlign w:val="superscript"/>
        </w:rPr>
        <w:footnoteReference w:id="3"/>
      </w:r>
      <w:r>
        <w:rPr>
          <w:rFonts w:ascii="Calibri" w:eastAsia="Calibri" w:hAnsi="Calibri" w:cs="Calibri"/>
          <w:color w:val="000000"/>
          <w:sz w:val="22"/>
          <w:szCs w:val="22"/>
        </w:rPr>
        <w:t xml:space="preserve">. However, increasing fragmentation of landholdings, especially in infrastructure, coupled with reduced investment support, growing competition for land and water, rising input prices and climate change threaten this contribution, leaving many smallholders increasingly vulnerable. </w:t>
      </w:r>
      <w:r>
        <w:rPr>
          <w:noProof/>
        </w:rPr>
        <mc:AlternateContent>
          <mc:Choice Requires="wps">
            <w:drawing>
              <wp:anchor distT="0" distB="0" distL="114300" distR="114300" simplePos="0" relativeHeight="251658240" behindDoc="0" locked="0" layoutInCell="1" hidden="0" allowOverlap="1" wp14:anchorId="5BEB5BAB" wp14:editId="6F28A97A">
                <wp:simplePos x="0" y="0"/>
                <wp:positionH relativeFrom="column">
                  <wp:posOffset>3606800</wp:posOffset>
                </wp:positionH>
                <wp:positionV relativeFrom="paragraph">
                  <wp:posOffset>736600</wp:posOffset>
                </wp:positionV>
                <wp:extent cx="2514600" cy="1676400"/>
                <wp:effectExtent l="0" t="0" r="0" b="0"/>
                <wp:wrapSquare wrapText="bothSides" distT="0" distB="0" distL="114300" distR="114300"/>
                <wp:docPr id="310" name="Rectangle 310"/>
                <wp:cNvGraphicFramePr/>
                <a:graphic xmlns:a="http://schemas.openxmlformats.org/drawingml/2006/main">
                  <a:graphicData uri="http://schemas.microsoft.com/office/word/2010/wordprocessingShape">
                    <wps:wsp>
                      <wps:cNvSpPr/>
                      <wps:spPr>
                        <a:xfrm>
                          <a:off x="4093463" y="2946563"/>
                          <a:ext cx="2505075" cy="1666875"/>
                        </a:xfrm>
                        <a:prstGeom prst="rect">
                          <a:avLst/>
                        </a:prstGeom>
                        <a:solidFill>
                          <a:srgbClr val="F2F2F2"/>
                        </a:solidFill>
                        <a:ln w="9525" cap="flat" cmpd="sng">
                          <a:solidFill>
                            <a:srgbClr val="000000"/>
                          </a:solidFill>
                          <a:prstDash val="solid"/>
                          <a:miter lim="800000"/>
                          <a:headEnd type="none" w="sm" len="sm"/>
                          <a:tailEnd type="none" w="sm" len="sm"/>
                        </a:ln>
                      </wps:spPr>
                      <wps:txbx>
                        <w:txbxContent>
                          <w:p w14:paraId="45AAD669" w14:textId="77777777" w:rsidR="007F1E20" w:rsidRDefault="00066B76">
                            <w:pPr>
                              <w:jc w:val="center"/>
                              <w:textDirection w:val="btLr"/>
                            </w:pPr>
                            <w:r>
                              <w:rPr>
                                <w:rFonts w:ascii="Calibri" w:eastAsia="Calibri" w:hAnsi="Calibri" w:cs="Calibri"/>
                                <w:b/>
                                <w:color w:val="9E1B32"/>
                                <w:sz w:val="22"/>
                              </w:rPr>
                              <w:t>Transformational Potential of Agriculture</w:t>
                            </w:r>
                          </w:p>
                          <w:p w14:paraId="45F041DA" w14:textId="77777777" w:rsidR="007F1E20" w:rsidRDefault="00066B76">
                            <w:pPr>
                              <w:jc w:val="both"/>
                              <w:textDirection w:val="btLr"/>
                            </w:pPr>
                            <w:r>
                              <w:rPr>
                                <w:rFonts w:ascii="Calibri" w:eastAsia="Calibri" w:hAnsi="Calibri" w:cs="Calibri"/>
                                <w:color w:val="000000"/>
                                <w:sz w:val="22"/>
                              </w:rPr>
                              <w:t>Agriculture has been found to play a powerful role in poverty reduction, especially when agricultural development has focused on small farms grow. It is estimated that a 1% increase in crop productivity reduces</w:t>
                            </w:r>
                            <w:r>
                              <w:rPr>
                                <w:color w:val="000000"/>
                              </w:rPr>
                              <w:t xml:space="preserve"> the number of poor people by 0.72% in Africa.</w:t>
                            </w:r>
                          </w:p>
                        </w:txbxContent>
                      </wps:txbx>
                      <wps:bodyPr spcFirstLastPara="1" wrap="square" lIns="91425" tIns="45700" rIns="91425" bIns="45700" anchor="t" anchorCtr="0">
                        <a:noAutofit/>
                      </wps:bodyPr>
                    </wps:wsp>
                  </a:graphicData>
                </a:graphic>
              </wp:anchor>
            </w:drawing>
          </mc:Choice>
          <mc:Fallback>
            <w:pict>
              <v:rect w14:anchorId="5BEB5BAB" id="Rectangle 310" o:spid="_x0000_s1026" style="position:absolute;left:0;text-align:left;margin-left:284pt;margin-top:58pt;width:198pt;height:13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" fillcolor="#f2f2f2">
                <v:stroke startarrowwidth="narrow" startarrowlength="short" endarrowwidth="narrow" endarrowlength="short"/>
                <v:textbox inset="2.53958mm,1.2694mm,2.53958mm,1.2694mm">
                  <w:txbxContent>
                    <w:p w14:paraId="45AAD669" w14:textId="77777777" w:rsidR="007F1E20" w:rsidRDefault="00066B76">
                      <w:pPr>
                        <w:jc w:val="center"/>
                        <w:textDirection w:val="btLr"/>
                      </w:pPr>
                      <w:r>
                        <w:rPr>
                          <w:rFonts w:ascii="Calibri" w:eastAsia="Calibri" w:hAnsi="Calibri" w:cs="Calibri"/>
                          <w:b/>
                          <w:color w:val="9E1B32"/>
                          <w:sz w:val="22"/>
                        </w:rPr>
                        <w:t>Transformational Potential of Agriculture</w:t>
                      </w:r>
                    </w:p>
                    <w:p w14:paraId="45F041DA" w14:textId="77777777" w:rsidR="007F1E20" w:rsidRDefault="00066B76">
                      <w:pPr>
                        <w:jc w:val="both"/>
                        <w:textDirection w:val="btLr"/>
                      </w:pPr>
                      <w:r>
                        <w:rPr>
                          <w:rFonts w:ascii="Calibri" w:eastAsia="Calibri" w:hAnsi="Calibri" w:cs="Calibri"/>
                          <w:color w:val="000000"/>
                          <w:sz w:val="22"/>
                        </w:rPr>
                        <w:t>Agriculture has been found to play a powerful role in poverty reduction, especially when agricultural development has focused on small farms grow. It is estimated that a 1% increase in crop productivity reduces</w:t>
                      </w:r>
                      <w:r>
                        <w:rPr>
                          <w:color w:val="000000"/>
                        </w:rPr>
                        <w:t xml:space="preserve"> the number of poor people by 0.72% in Africa.</w:t>
                      </w:r>
                    </w:p>
                  </w:txbxContent>
                </v:textbox>
                <w10:wrap type="square"/>
              </v:rect>
            </w:pict>
          </mc:Fallback>
        </mc:AlternateContent>
      </w:r>
    </w:p>
    <w:p w14:paraId="2FDFBD00" w14:textId="77777777" w:rsidR="007F1E20" w:rsidRDefault="00066B76">
      <w:pPr>
        <w:spacing w:after="120"/>
        <w:jc w:val="both"/>
        <w:rPr>
          <w:rFonts w:ascii="Calibri" w:eastAsia="Calibri" w:hAnsi="Calibri" w:cs="Calibri"/>
          <w:sz w:val="22"/>
          <w:szCs w:val="22"/>
        </w:rPr>
      </w:pPr>
      <w:r>
        <w:rPr>
          <w:rFonts w:ascii="Calibri" w:eastAsia="Calibri" w:hAnsi="Calibri" w:cs="Calibri"/>
          <w:sz w:val="22"/>
          <w:szCs w:val="22"/>
        </w:rPr>
        <w:t>Given increasing world populations and demand for food, SHFs occupy an important segment of the global agricultural value chain</w:t>
      </w:r>
      <w:r>
        <w:rPr>
          <w:rFonts w:ascii="Calibri" w:eastAsia="Calibri" w:hAnsi="Calibri" w:cs="Calibri"/>
          <w:sz w:val="22"/>
          <w:szCs w:val="22"/>
          <w:vertAlign w:val="superscript"/>
        </w:rPr>
        <w:footnoteReference w:id="4"/>
      </w:r>
      <w:r>
        <w:rPr>
          <w:rFonts w:ascii="Calibri" w:eastAsia="Calibri" w:hAnsi="Calibri" w:cs="Calibri"/>
          <w:sz w:val="22"/>
          <w:szCs w:val="22"/>
        </w:rPr>
        <w:t>. Multinational buyers will increasingly rely on smallholders to secure their supply of commodities and to help satisfy consumer sustainability preferences</w:t>
      </w:r>
      <w:r>
        <w:rPr>
          <w:rFonts w:ascii="Calibri" w:eastAsia="Calibri" w:hAnsi="Calibri" w:cs="Calibri"/>
          <w:sz w:val="22"/>
          <w:szCs w:val="22"/>
          <w:vertAlign w:val="superscript"/>
        </w:rPr>
        <w:footnoteReference w:id="5"/>
      </w:r>
      <w:r>
        <w:rPr>
          <w:rFonts w:ascii="Calibri" w:eastAsia="Calibri" w:hAnsi="Calibri" w:cs="Calibri"/>
          <w:sz w:val="22"/>
          <w:szCs w:val="22"/>
        </w:rPr>
        <w:t>. At an estimated $450 billion, the global demand for smallholder agricultural finance is large—and largely unmet. Credit provided by informal and formal financial institutions, as well as value chain actors, currently only meets an estimated USD 50 billion of the more than USD 200 billion need for smallholder finance in the regions of sub-Saharan Africa, Latin America, and South and Southeast Asia</w:t>
      </w:r>
      <w:r>
        <w:rPr>
          <w:rFonts w:ascii="Calibri" w:eastAsia="Calibri" w:hAnsi="Calibri" w:cs="Calibri"/>
          <w:sz w:val="22"/>
          <w:szCs w:val="22"/>
          <w:vertAlign w:val="superscript"/>
        </w:rPr>
        <w:footnoteReference w:id="6"/>
      </w:r>
      <w:r>
        <w:rPr>
          <w:rFonts w:ascii="Calibri" w:eastAsia="Calibri" w:hAnsi="Calibri" w:cs="Calibri"/>
          <w:sz w:val="22"/>
          <w:szCs w:val="22"/>
        </w:rPr>
        <w:t>. Impact driven smallholder agricultural lenders, such as Root Capital in Kenya and elsewhere, currently satisfy less than two percent of the demand.</w:t>
      </w:r>
      <w:r>
        <w:rPr>
          <w:rFonts w:ascii="Calibri" w:eastAsia="Calibri" w:hAnsi="Calibri" w:cs="Calibri"/>
          <w:sz w:val="22"/>
          <w:szCs w:val="22"/>
          <w:vertAlign w:val="superscript"/>
        </w:rPr>
        <w:footnoteReference w:id="7"/>
      </w:r>
      <w:r>
        <w:rPr>
          <w:rFonts w:ascii="Calibri" w:eastAsia="Calibri" w:hAnsi="Calibri" w:cs="Calibri"/>
          <w:sz w:val="22"/>
          <w:szCs w:val="22"/>
        </w:rPr>
        <w:t xml:space="preserve">  The volume and value of savings, </w:t>
      </w:r>
      <w:proofErr w:type="gramStart"/>
      <w:r>
        <w:rPr>
          <w:rFonts w:ascii="Calibri" w:eastAsia="Calibri" w:hAnsi="Calibri" w:cs="Calibri"/>
          <w:sz w:val="22"/>
          <w:szCs w:val="22"/>
        </w:rPr>
        <w:t>lending</w:t>
      </w:r>
      <w:proofErr w:type="gramEnd"/>
      <w:r>
        <w:rPr>
          <w:rFonts w:ascii="Calibri" w:eastAsia="Calibri" w:hAnsi="Calibri" w:cs="Calibri"/>
          <w:sz w:val="22"/>
          <w:szCs w:val="22"/>
        </w:rPr>
        <w:t xml:space="preserve"> and payment transaction SHFs in most African countries is not specifically measured.</w:t>
      </w:r>
    </w:p>
    <w:p w14:paraId="35626671" w14:textId="77777777" w:rsidR="007F1E20" w:rsidRDefault="00066B76">
      <w:pPr>
        <w:spacing w:after="120"/>
        <w:jc w:val="both"/>
        <w:rPr>
          <w:rFonts w:ascii="Calibri" w:eastAsia="Calibri" w:hAnsi="Calibri" w:cs="Calibri"/>
          <w:sz w:val="22"/>
          <w:szCs w:val="22"/>
        </w:rPr>
      </w:pPr>
      <w:r>
        <w:rPr>
          <w:rFonts w:ascii="Calibri" w:eastAsia="Calibri" w:hAnsi="Calibri" w:cs="Calibri"/>
          <w:sz w:val="22"/>
          <w:szCs w:val="22"/>
        </w:rPr>
        <w:t xml:space="preserve">Mobile phones are a powerful tool to access the electronic national retail payments system and enable vast numbers of clients to use a range of financial and informational services at lower cost. In agriculture, progressively more services are being delivered via mobile phone and as it was revealed in the 2015 Farmer Benchmark and Payment Study, 92% of the respondents owned at least one mobile phone. </w:t>
      </w:r>
      <w:r>
        <w:rPr>
          <w:rFonts w:ascii="Calibri" w:eastAsia="Calibri" w:hAnsi="Calibri" w:cs="Calibri"/>
          <w:sz w:val="22"/>
          <w:szCs w:val="22"/>
        </w:rPr>
        <w:lastRenderedPageBreak/>
        <w:t xml:space="preserve">Applications such as </w:t>
      </w:r>
      <w:proofErr w:type="spellStart"/>
      <w:r>
        <w:rPr>
          <w:rFonts w:ascii="Calibri" w:eastAsia="Calibri" w:hAnsi="Calibri" w:cs="Calibri"/>
          <w:sz w:val="22"/>
          <w:szCs w:val="22"/>
        </w:rPr>
        <w:t>iShamba</w:t>
      </w:r>
      <w:proofErr w:type="spellEnd"/>
      <w:r>
        <w:rPr>
          <w:rFonts w:ascii="Calibri" w:eastAsia="Calibri" w:hAnsi="Calibri" w:cs="Calibri"/>
          <w:sz w:val="22"/>
          <w:szCs w:val="22"/>
        </w:rPr>
        <w:t xml:space="preserve"> and </w:t>
      </w:r>
      <w:proofErr w:type="spellStart"/>
      <w:r>
        <w:rPr>
          <w:rFonts w:ascii="Calibri" w:eastAsia="Calibri" w:hAnsi="Calibri" w:cs="Calibri"/>
          <w:sz w:val="22"/>
          <w:szCs w:val="22"/>
        </w:rPr>
        <w:t>Arifu</w:t>
      </w:r>
      <w:proofErr w:type="spellEnd"/>
      <w:r>
        <w:rPr>
          <w:rFonts w:ascii="Calibri" w:eastAsia="Calibri" w:hAnsi="Calibri" w:cs="Calibri"/>
          <w:sz w:val="22"/>
          <w:szCs w:val="22"/>
        </w:rPr>
        <w:t xml:space="preserve"> direct specific, timely information on agricultural production methods to farmers through their mobile phones. Moving beyond one-to-one communication, M-Farm is an Internet- and SMS-based service in Kenya that allows farmers to aggregate; it publishes wholesale price information on 42 crops and provides a platform for smallholders to collectively sell crops and buy inputs, thereby lowering costs and accessing new markets.</w:t>
      </w:r>
      <w:r>
        <w:rPr>
          <w:rFonts w:ascii="Calibri" w:eastAsia="Calibri" w:hAnsi="Calibri" w:cs="Calibri"/>
          <w:b/>
          <w:color w:val="FFFFFF"/>
          <w:sz w:val="22"/>
          <w:szCs w:val="22"/>
        </w:rPr>
        <w:t xml:space="preserve"> of Engagement</w:t>
      </w:r>
      <w:r>
        <w:rPr>
          <w:rFonts w:ascii="Calibri" w:eastAsia="Calibri" w:hAnsi="Calibri" w:cs="Calibri"/>
          <w:b/>
          <w:color w:val="FFFFFF"/>
          <w:sz w:val="22"/>
          <w:szCs w:val="22"/>
        </w:rPr>
        <w:tab/>
      </w:r>
    </w:p>
    <w:p w14:paraId="1B00D4CB" w14:textId="77777777" w:rsidR="007F1E20" w:rsidRDefault="007F1E20">
      <w:pPr>
        <w:jc w:val="both"/>
        <w:rPr>
          <w:rFonts w:ascii="Calibri" w:eastAsia="Calibri" w:hAnsi="Calibri" w:cs="Calibri"/>
          <w:sz w:val="22"/>
          <w:szCs w:val="22"/>
        </w:rPr>
      </w:pPr>
    </w:p>
    <w:p w14:paraId="09F03E20" w14:textId="77777777" w:rsidR="007F1E20" w:rsidRDefault="00066B76">
      <w:pPr>
        <w:shd w:val="clear" w:color="auto" w:fill="B80000"/>
        <w:spacing w:after="120"/>
        <w:jc w:val="both"/>
        <w:rPr>
          <w:rFonts w:ascii="Calibri" w:eastAsia="Calibri" w:hAnsi="Calibri" w:cs="Calibri"/>
          <w:sz w:val="22"/>
          <w:szCs w:val="22"/>
        </w:rPr>
      </w:pPr>
      <w:r>
        <w:rPr>
          <w:rFonts w:ascii="Calibri" w:eastAsia="Calibri" w:hAnsi="Calibri" w:cs="Calibri"/>
          <w:b/>
          <w:color w:val="FFFFFF"/>
          <w:sz w:val="22"/>
          <w:szCs w:val="22"/>
        </w:rPr>
        <w:t xml:space="preserve">GIZ Digital Agriculture Africa </w:t>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p>
    <w:p w14:paraId="608C04F3" w14:textId="77777777" w:rsidR="007F1E20" w:rsidRDefault="00066B76">
      <w:pPr>
        <w:pBdr>
          <w:top w:val="nil"/>
          <w:left w:val="nil"/>
          <w:bottom w:val="nil"/>
          <w:right w:val="nil"/>
          <w:between w:val="nil"/>
        </w:pBdr>
        <w:ind w:right="90"/>
        <w:jc w:val="both"/>
        <w:rPr>
          <w:rFonts w:ascii="Calibri" w:eastAsia="Calibri" w:hAnsi="Calibri" w:cs="Calibri"/>
          <w:color w:val="000000"/>
          <w:sz w:val="22"/>
          <w:szCs w:val="22"/>
        </w:rPr>
      </w:pPr>
      <w:r>
        <w:rPr>
          <w:rFonts w:ascii="Calibri" w:eastAsia="Calibri" w:hAnsi="Calibri" w:cs="Calibri"/>
          <w:color w:val="000000"/>
          <w:sz w:val="22"/>
          <w:szCs w:val="22"/>
        </w:rPr>
        <w:t xml:space="preserve">The challenges in agriculture in Africa, particularly for the smallholder farmers producing 80% of its’ food for consumption, are complex, and no single solution exists to reverse age-old issues around markets, infrastructure, </w:t>
      </w:r>
      <w:proofErr w:type="gramStart"/>
      <w:r>
        <w:rPr>
          <w:rFonts w:ascii="Calibri" w:eastAsia="Calibri" w:hAnsi="Calibri" w:cs="Calibri"/>
          <w:color w:val="000000"/>
          <w:sz w:val="22"/>
          <w:szCs w:val="22"/>
        </w:rPr>
        <w:t>poverty</w:t>
      </w:r>
      <w:proofErr w:type="gramEnd"/>
      <w:r>
        <w:rPr>
          <w:rFonts w:ascii="Calibri" w:eastAsia="Calibri" w:hAnsi="Calibri" w:cs="Calibri"/>
          <w:color w:val="000000"/>
          <w:sz w:val="22"/>
          <w:szCs w:val="22"/>
        </w:rPr>
        <w:t xml:space="preserve"> and exclusion. Digital solutions can provide relatively low-cost solutions that reach scale quickly, open new markets, and surpass the traditional brick-and-mortar approach to customer acquisition and the distribution and sales of products and services.  Over the past five years, AgriFin has worked both to build capacity of fintech and </w:t>
      </w:r>
      <w:proofErr w:type="spellStart"/>
      <w:r>
        <w:rPr>
          <w:rFonts w:ascii="Calibri" w:eastAsia="Calibri" w:hAnsi="Calibri" w:cs="Calibri"/>
          <w:color w:val="000000"/>
          <w:sz w:val="22"/>
          <w:szCs w:val="22"/>
        </w:rPr>
        <w:t>agtech</w:t>
      </w:r>
      <w:proofErr w:type="spellEnd"/>
      <w:r>
        <w:rPr>
          <w:rFonts w:ascii="Calibri" w:eastAsia="Calibri" w:hAnsi="Calibri" w:cs="Calibri"/>
          <w:color w:val="000000"/>
          <w:sz w:val="22"/>
          <w:szCs w:val="22"/>
        </w:rPr>
        <w:t xml:space="preserve"> innovators to scale </w:t>
      </w:r>
      <w:proofErr w:type="gramStart"/>
      <w:r>
        <w:rPr>
          <w:rFonts w:ascii="Calibri" w:eastAsia="Calibri" w:hAnsi="Calibri" w:cs="Calibri"/>
          <w:color w:val="000000"/>
          <w:sz w:val="22"/>
          <w:szCs w:val="22"/>
        </w:rPr>
        <w:t>and also</w:t>
      </w:r>
      <w:proofErr w:type="gramEnd"/>
      <w:r>
        <w:rPr>
          <w:rFonts w:ascii="Calibri" w:eastAsia="Calibri" w:hAnsi="Calibri" w:cs="Calibri"/>
          <w:color w:val="000000"/>
          <w:sz w:val="22"/>
          <w:szCs w:val="22"/>
        </w:rPr>
        <w:t xml:space="preserve"> worked to broker partnerships for them onto larger digital platforms, typically hosted by banks, mobile network operators, large agricultural enterprises and government. Digital platforms are evolving as drivers for impact and viability in delivery of key services for agriculture </w:t>
      </w:r>
      <w:proofErr w:type="gramStart"/>
      <w:r>
        <w:rPr>
          <w:rFonts w:ascii="Calibri" w:eastAsia="Calibri" w:hAnsi="Calibri" w:cs="Calibri"/>
          <w:color w:val="000000"/>
          <w:sz w:val="22"/>
          <w:szCs w:val="22"/>
        </w:rPr>
        <w:t>and also</w:t>
      </w:r>
      <w:proofErr w:type="gramEnd"/>
      <w:r>
        <w:rPr>
          <w:rFonts w:ascii="Calibri" w:eastAsia="Calibri" w:hAnsi="Calibri" w:cs="Calibri"/>
          <w:color w:val="000000"/>
          <w:sz w:val="22"/>
          <w:szCs w:val="22"/>
        </w:rPr>
        <w:t xml:space="preserve"> for scale up of young, breakthrough technology providers.  Digital platforms can host multiple service providers, working to offer “end to end” services to drive transformation in agricultural markets and impact for smallholders, while decreasing risks and increasing revenue models for </w:t>
      </w:r>
      <w:proofErr w:type="spellStart"/>
      <w:r>
        <w:rPr>
          <w:rFonts w:ascii="Calibri" w:eastAsia="Calibri" w:hAnsi="Calibri" w:cs="Calibri"/>
          <w:color w:val="000000"/>
          <w:sz w:val="22"/>
          <w:szCs w:val="22"/>
        </w:rPr>
        <w:t>fintechs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agtechs</w:t>
      </w:r>
      <w:proofErr w:type="spellEnd"/>
      <w:r>
        <w:rPr>
          <w:rFonts w:ascii="Calibri" w:eastAsia="Calibri" w:hAnsi="Calibri" w:cs="Calibri"/>
          <w:color w:val="000000"/>
          <w:sz w:val="22"/>
          <w:szCs w:val="22"/>
        </w:rPr>
        <w:t xml:space="preserve"> and other market actors. </w:t>
      </w:r>
    </w:p>
    <w:p w14:paraId="76A6C85F" w14:textId="77777777" w:rsidR="007F1E20" w:rsidRDefault="007F1E20">
      <w:pPr>
        <w:rPr>
          <w:rFonts w:ascii="Calibri" w:eastAsia="Calibri" w:hAnsi="Calibri" w:cs="Calibri"/>
          <w:sz w:val="22"/>
          <w:szCs w:val="22"/>
        </w:rPr>
      </w:pPr>
    </w:p>
    <w:p w14:paraId="7761EC81" w14:textId="77777777" w:rsidR="007F1E20" w:rsidRDefault="00066B76">
      <w:pPr>
        <w:pBdr>
          <w:top w:val="nil"/>
          <w:left w:val="nil"/>
          <w:bottom w:val="nil"/>
          <w:right w:val="nil"/>
          <w:between w:val="nil"/>
        </w:pBdr>
        <w:ind w:right="90"/>
        <w:jc w:val="both"/>
        <w:rPr>
          <w:rFonts w:ascii="Calibri" w:eastAsia="Calibri" w:hAnsi="Calibri" w:cs="Calibri"/>
          <w:color w:val="000000"/>
          <w:sz w:val="22"/>
          <w:szCs w:val="22"/>
        </w:rPr>
      </w:pPr>
      <w:r>
        <w:rPr>
          <w:rFonts w:ascii="Calibri" w:eastAsia="Calibri" w:hAnsi="Calibri" w:cs="Calibri"/>
          <w:color w:val="000000"/>
          <w:sz w:val="22"/>
          <w:szCs w:val="22"/>
        </w:rPr>
        <w:t>Drawing on Mercy Corps’ experience implementing the AgriFin Mobile, AgriFin Accelerate and AgriFin Digital Farmer programs, GIZ has engaged Mercy Corps to understand how young technology innovators can be supported in scale and operational viability by engaging with emerging models of digital platforms. The GIZ smart development hack is a six-month, €1,300,000 initiative to work with cohort of partners in Kenya and Nigeria to develop digital solutions that address challenges in the agriculture sector especially brought about by the Covid 19 pandemic. The COVID-19 pandemic has drawn attention to the complex fragility of many countries, highlighted most clearly in the interplay of public health, markets and food systems. Early warning signs are emerging that the continent is on the brink of an unprecedented food security crisis. In Kenya it is estimated that there are sufficient strategic reserves for three months, but disrupted food systems, logistics and evidence of food hoarding may shorten that timeline, particularly as the largest desert locust invasion in 70 years.</w:t>
      </w:r>
    </w:p>
    <w:p w14:paraId="02BB04C8" w14:textId="77777777" w:rsidR="007F1E20" w:rsidRDefault="00066B76">
      <w:pPr>
        <w:rPr>
          <w:rFonts w:ascii="Calibri" w:eastAsia="Calibri" w:hAnsi="Calibri" w:cs="Calibri"/>
          <w:sz w:val="22"/>
          <w:szCs w:val="22"/>
        </w:rPr>
      </w:pPr>
      <w:r>
        <w:rPr>
          <w:rFonts w:ascii="Calibri" w:eastAsia="Calibri" w:hAnsi="Calibri" w:cs="Calibri"/>
          <w:sz w:val="22"/>
          <w:szCs w:val="22"/>
        </w:rPr>
        <w:br/>
      </w:r>
      <w:r>
        <w:rPr>
          <w:rFonts w:ascii="Calibri" w:eastAsia="Calibri" w:hAnsi="Calibri" w:cs="Calibri"/>
          <w:color w:val="000000"/>
          <w:sz w:val="22"/>
          <w:szCs w:val="22"/>
          <w:highlight w:val="white"/>
        </w:rPr>
        <w:t xml:space="preserve">The World Bank estimates that the COVID-19 pandemic is likely to push upwards of 115 million into extreme poverty and setting back poverty reduction by around three years.  </w:t>
      </w:r>
      <w:r>
        <w:rPr>
          <w:rFonts w:ascii="Calibri" w:eastAsia="Calibri" w:hAnsi="Calibri" w:cs="Calibri"/>
          <w:color w:val="000000"/>
          <w:sz w:val="22"/>
          <w:szCs w:val="22"/>
        </w:rPr>
        <w:t xml:space="preserve">The primary risks to food security at the country level </w:t>
      </w:r>
      <w:proofErr w:type="gramStart"/>
      <w:r>
        <w:rPr>
          <w:rFonts w:ascii="Calibri" w:eastAsia="Calibri" w:hAnsi="Calibri" w:cs="Calibri"/>
          <w:color w:val="000000"/>
          <w:sz w:val="22"/>
          <w:szCs w:val="22"/>
        </w:rPr>
        <w:t>include:</w:t>
      </w:r>
      <w:proofErr w:type="gramEnd"/>
      <w:r>
        <w:rPr>
          <w:rFonts w:ascii="Calibri" w:eastAsia="Calibri" w:hAnsi="Calibri" w:cs="Calibri"/>
          <w:color w:val="000000"/>
          <w:sz w:val="22"/>
          <w:szCs w:val="22"/>
        </w:rPr>
        <w:t xml:space="preserve"> disruptions in domestic food supply chains, other shocks affecting food production, and loss of incomes and remittances that have created strong tensions and food security risks in many countries. </w:t>
      </w:r>
      <w:proofErr w:type="gramStart"/>
      <w:r>
        <w:rPr>
          <w:rFonts w:ascii="Calibri" w:eastAsia="Calibri" w:hAnsi="Calibri" w:cs="Calibri"/>
          <w:color w:val="000000"/>
          <w:sz w:val="22"/>
          <w:szCs w:val="22"/>
        </w:rPr>
        <w:t>A number of</w:t>
      </w:r>
      <w:proofErr w:type="gramEnd"/>
      <w:r>
        <w:rPr>
          <w:rFonts w:ascii="Calibri" w:eastAsia="Calibri" w:hAnsi="Calibri" w:cs="Calibri"/>
          <w:color w:val="000000"/>
          <w:sz w:val="22"/>
          <w:szCs w:val="22"/>
        </w:rPr>
        <w:t xml:space="preserve"> countries are experiencing varying levels of food price inflation, at the retail level, due to measures taken to combat the spread of COVID-19. Higher retail prices, combined with reduced incomes, mean more and more households are having to cut down on the quantity and quality of their food consumption, with potentially lasting impacts on nutrition and health. The U.N. World Food </w:t>
      </w:r>
      <w:proofErr w:type="spellStart"/>
      <w:r>
        <w:rPr>
          <w:rFonts w:ascii="Calibri" w:eastAsia="Calibri" w:hAnsi="Calibri" w:cs="Calibri"/>
          <w:color w:val="000000"/>
          <w:sz w:val="22"/>
          <w:szCs w:val="22"/>
        </w:rPr>
        <w:t>Programme</w:t>
      </w:r>
      <w:proofErr w:type="spellEnd"/>
      <w:r>
        <w:rPr>
          <w:rFonts w:ascii="Calibri" w:eastAsia="Calibri" w:hAnsi="Calibri" w:cs="Calibri"/>
          <w:color w:val="000000"/>
          <w:sz w:val="22"/>
          <w:szCs w:val="22"/>
        </w:rPr>
        <w:t xml:space="preserve"> has warned that that the number of people at risk of encountering acute food insecurity will come close to doubling at the end of the year, from the initial 135 million currently facing acute hunger. </w:t>
      </w:r>
    </w:p>
    <w:p w14:paraId="5BB32021" w14:textId="77777777" w:rsidR="007F1E20" w:rsidRDefault="007F1E20">
      <w:pPr>
        <w:tabs>
          <w:tab w:val="left" w:pos="7160"/>
        </w:tabs>
        <w:ind w:right="90"/>
        <w:jc w:val="both"/>
        <w:rPr>
          <w:rFonts w:ascii="Calibri" w:eastAsia="Calibri" w:hAnsi="Calibri" w:cs="Calibri"/>
          <w:sz w:val="22"/>
          <w:szCs w:val="22"/>
        </w:rPr>
      </w:pPr>
    </w:p>
    <w:p w14:paraId="01E48A08" w14:textId="77777777" w:rsidR="007F1E20" w:rsidRDefault="00066B76">
      <w:pPr>
        <w:pBdr>
          <w:top w:val="nil"/>
          <w:left w:val="nil"/>
          <w:bottom w:val="nil"/>
          <w:right w:val="nil"/>
          <w:between w:val="nil"/>
        </w:pBdr>
        <w:shd w:val="clear" w:color="auto" w:fill="B80000"/>
        <w:jc w:val="both"/>
        <w:rPr>
          <w:rFonts w:ascii="Calibri" w:eastAsia="Calibri" w:hAnsi="Calibri" w:cs="Calibri"/>
          <w:color w:val="000000"/>
          <w:sz w:val="22"/>
          <w:szCs w:val="22"/>
        </w:rPr>
      </w:pPr>
      <w:r>
        <w:rPr>
          <w:rFonts w:ascii="Calibri" w:eastAsia="Calibri" w:hAnsi="Calibri" w:cs="Calibri"/>
          <w:b/>
          <w:color w:val="FFFFFF"/>
          <w:sz w:val="22"/>
          <w:szCs w:val="22"/>
        </w:rPr>
        <w:t>OKTA-</w:t>
      </w:r>
      <w:r>
        <w:rPr>
          <w:rFonts w:ascii="Calibri" w:eastAsia="Calibri" w:hAnsi="Calibri" w:cs="Calibri"/>
          <w:color w:val="000000"/>
          <w:sz w:val="22"/>
          <w:szCs w:val="22"/>
        </w:rPr>
        <w:t xml:space="preserve"> </w:t>
      </w:r>
      <w:r>
        <w:rPr>
          <w:rFonts w:ascii="Calibri" w:eastAsia="Calibri" w:hAnsi="Calibri" w:cs="Calibri"/>
          <w:b/>
          <w:color w:val="FFFFFF"/>
          <w:sz w:val="22"/>
          <w:szCs w:val="22"/>
        </w:rPr>
        <w:t>Sprout Smart Farmer Innovation (SSFI) Program Overview</w:t>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p>
    <w:p w14:paraId="378FF893" w14:textId="77777777" w:rsidR="007F1E20" w:rsidRDefault="00066B76">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Smallholder farmers feed 1/3rd of the world’s population, but studies project agricultural productivity throughout sub-Saharan Africa will not be able to meet growing demands. In addition to growing </w:t>
      </w:r>
      <w:r>
        <w:rPr>
          <w:rFonts w:ascii="Calibri" w:eastAsia="Calibri" w:hAnsi="Calibri" w:cs="Calibri"/>
          <w:color w:val="000000"/>
          <w:sz w:val="22"/>
          <w:szCs w:val="22"/>
        </w:rPr>
        <w:lastRenderedPageBreak/>
        <w:t xml:space="preserve">population, environmental shocks, major market disruptions and reliance on outdated agronomic practices, </w:t>
      </w:r>
      <w:proofErr w:type="gramStart"/>
      <w:r>
        <w:rPr>
          <w:rFonts w:ascii="Calibri" w:eastAsia="Calibri" w:hAnsi="Calibri" w:cs="Calibri"/>
          <w:color w:val="000000"/>
          <w:sz w:val="22"/>
          <w:szCs w:val="22"/>
        </w:rPr>
        <w:t>the majority of</w:t>
      </w:r>
      <w:proofErr w:type="gramEnd"/>
      <w:r>
        <w:rPr>
          <w:rFonts w:ascii="Calibri" w:eastAsia="Calibri" w:hAnsi="Calibri" w:cs="Calibri"/>
          <w:color w:val="000000"/>
          <w:sz w:val="22"/>
          <w:szCs w:val="22"/>
        </w:rPr>
        <w:t xml:space="preserve"> smallholder farmers have little access to updated agricultural information that addresses the causes of climate change and how best to adapt to its effects. There is a vast pool of this modern agriculture information and content, but it’s not easily accessible to many of these smallholder farmers. The </w:t>
      </w:r>
      <w:r>
        <w:rPr>
          <w:rFonts w:ascii="Calibri" w:eastAsia="Calibri" w:hAnsi="Calibri" w:cs="Calibri"/>
          <w:b/>
          <w:color w:val="000000"/>
          <w:sz w:val="22"/>
          <w:szCs w:val="22"/>
        </w:rPr>
        <w:t>Sprout Smart Farmer Innovation (SSFI) Program</w:t>
      </w:r>
      <w:r>
        <w:rPr>
          <w:rFonts w:ascii="Calibri" w:eastAsia="Calibri" w:hAnsi="Calibri" w:cs="Calibri"/>
          <w:color w:val="000000"/>
          <w:sz w:val="22"/>
          <w:szCs w:val="22"/>
        </w:rPr>
        <w:t xml:space="preserve"> intends the Sprout Platform to play the role of a global public good, where content can be consolidated and shared with farmer-facing organizations and distributed to smallholders through their various digital channels, supporting farmers to leverage the information to build their capacity and become more resilient. As part of the initial pilot we have launched the Sprout Platform - https://sproutopencontent.com, an open data platform and Sprout Learning - </w:t>
      </w:r>
      <w:hyperlink r:id="rId8">
        <w:r>
          <w:rPr>
            <w:rFonts w:ascii="Calibri" w:eastAsia="Calibri" w:hAnsi="Calibri" w:cs="Calibri"/>
            <w:color w:val="0000FF"/>
            <w:sz w:val="22"/>
            <w:szCs w:val="22"/>
            <w:u w:val="single"/>
          </w:rPr>
          <w:t>https://wa.me/254711943939?text=hi</w:t>
        </w:r>
      </w:hyperlink>
      <w:r>
        <w:rPr>
          <w:rFonts w:ascii="Calibri" w:eastAsia="Calibri" w:hAnsi="Calibri" w:cs="Calibri"/>
          <w:color w:val="000000"/>
          <w:sz w:val="22"/>
          <w:szCs w:val="22"/>
        </w:rPr>
        <w:t xml:space="preserve"> , a white labeled WhatsApp for Business platform open to all partners to utilize and share with the smallholders they support. </w:t>
      </w:r>
    </w:p>
    <w:p w14:paraId="293FE491" w14:textId="77777777" w:rsidR="007F1E20" w:rsidRDefault="007F1E20">
      <w:pPr>
        <w:rPr>
          <w:rFonts w:ascii="Calibri" w:eastAsia="Calibri" w:hAnsi="Calibri" w:cs="Calibri"/>
          <w:sz w:val="22"/>
          <w:szCs w:val="22"/>
        </w:rPr>
      </w:pPr>
    </w:p>
    <w:p w14:paraId="13304BE5" w14:textId="77777777" w:rsidR="007F1E20" w:rsidRDefault="00066B76">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The program aims to develop and pilot the delivery of hyperlocal services for farmers via the Sprout Platform. In its current MVP stage, Sprout provides access to static data sets stored as files. There are plans to enable interactive API access to the platform to provide bite sized information that can be hyper-local, relevant to specific needs and real-time. The program will leverage Mercy Corps AgriFin’s experience in developing and implementing data strategies for partners and adopt the best practices and policies from partners to ensure safeguarding of beneficiary data. OKTA will play a valuable role in the project to support development of platform ability to secure user identity, particularly the identity of farmers accessing the platform to both learn and link to the marketplace of farm services. Given low technology literacy of Africa’s smallholders </w:t>
      </w:r>
      <w:proofErr w:type="gramStart"/>
      <w:r>
        <w:rPr>
          <w:rFonts w:ascii="Calibri" w:eastAsia="Calibri" w:hAnsi="Calibri" w:cs="Calibri"/>
          <w:color w:val="000000"/>
          <w:sz w:val="22"/>
          <w:szCs w:val="22"/>
        </w:rPr>
        <w:t>and also</w:t>
      </w:r>
      <w:proofErr w:type="gramEnd"/>
      <w:r>
        <w:rPr>
          <w:rFonts w:ascii="Calibri" w:eastAsia="Calibri" w:hAnsi="Calibri" w:cs="Calibri"/>
          <w:color w:val="000000"/>
          <w:sz w:val="22"/>
          <w:szCs w:val="22"/>
        </w:rPr>
        <w:t xml:space="preserve"> the nascent platforms of many technology innovators serving them, OKTA engagement to support secure sign in, authorizing and user management will optimize the user experience. </w:t>
      </w:r>
    </w:p>
    <w:p w14:paraId="3EDC5307" w14:textId="77777777" w:rsidR="007F1E20" w:rsidRDefault="007F1E20">
      <w:pPr>
        <w:rPr>
          <w:rFonts w:ascii="Calibri" w:eastAsia="Calibri" w:hAnsi="Calibri" w:cs="Calibri"/>
          <w:sz w:val="22"/>
          <w:szCs w:val="22"/>
        </w:rPr>
      </w:pPr>
    </w:p>
    <w:p w14:paraId="256A0E48" w14:textId="77777777" w:rsidR="007F1E20" w:rsidRDefault="00066B76">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The direct outputs/outcomes (KPIs) include:</w:t>
      </w:r>
    </w:p>
    <w:p w14:paraId="70B2B8B8" w14:textId="77777777" w:rsidR="007F1E20" w:rsidRDefault="00066B76">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ab/>
        <w:t>Deliver of 1-2 pilot services</w:t>
      </w:r>
    </w:p>
    <w:p w14:paraId="13655F83" w14:textId="77777777" w:rsidR="007F1E20" w:rsidRDefault="00066B76">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ab/>
        <w:t>2 -4 content organizations engaged</w:t>
      </w:r>
    </w:p>
    <w:p w14:paraId="330DD106" w14:textId="77777777" w:rsidR="007F1E20" w:rsidRDefault="00066B76">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ab/>
        <w:t>2- 4 content distribution organizations with access to 1M+ farmers</w:t>
      </w:r>
    </w:p>
    <w:p w14:paraId="3418A201" w14:textId="77777777" w:rsidR="007F1E20" w:rsidRDefault="00066B76">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ab/>
        <w:t>100,000 farmers reached (with the possibility of impacting many more as the service scales)</w:t>
      </w:r>
    </w:p>
    <w:p w14:paraId="300BDD80" w14:textId="77777777" w:rsidR="007F1E20" w:rsidRDefault="00066B76">
      <w:pPr>
        <w:tabs>
          <w:tab w:val="left" w:pos="7160"/>
        </w:tabs>
        <w:ind w:right="90"/>
        <w:jc w:val="both"/>
        <w:rPr>
          <w:rFonts w:ascii="Calibri" w:eastAsia="Calibri" w:hAnsi="Calibri" w:cs="Calibri"/>
          <w:sz w:val="22"/>
          <w:szCs w:val="22"/>
        </w:rPr>
      </w:pPr>
      <w:r>
        <w:rPr>
          <w:rFonts w:ascii="Calibri" w:eastAsia="Calibri" w:hAnsi="Calibri" w:cs="Calibri"/>
          <w:b/>
          <w:color w:val="FFFFFF"/>
          <w:sz w:val="22"/>
          <w:szCs w:val="22"/>
        </w:rPr>
        <w:tab/>
      </w:r>
    </w:p>
    <w:p w14:paraId="523D48DF" w14:textId="77777777" w:rsidR="007F1E20" w:rsidRDefault="007F1E20">
      <w:pPr>
        <w:jc w:val="both"/>
        <w:rPr>
          <w:rFonts w:ascii="Calibri" w:eastAsia="Calibri" w:hAnsi="Calibri" w:cs="Calibri"/>
          <w:sz w:val="22"/>
          <w:szCs w:val="22"/>
        </w:rPr>
      </w:pPr>
    </w:p>
    <w:p w14:paraId="142176E5" w14:textId="77777777" w:rsidR="007F1E20" w:rsidRDefault="00066B76">
      <w:pPr>
        <w:shd w:val="clear" w:color="auto" w:fill="B80000"/>
        <w:spacing w:after="120"/>
        <w:jc w:val="both"/>
        <w:rPr>
          <w:rFonts w:ascii="Calibri" w:eastAsia="Calibri" w:hAnsi="Calibri" w:cs="Calibri"/>
          <w:sz w:val="22"/>
          <w:szCs w:val="22"/>
        </w:rPr>
      </w:pPr>
      <w:r>
        <w:rPr>
          <w:rFonts w:ascii="Calibri" w:eastAsia="Calibri" w:hAnsi="Calibri" w:cs="Calibri"/>
          <w:b/>
          <w:color w:val="FFFFFF"/>
          <w:sz w:val="22"/>
          <w:szCs w:val="22"/>
        </w:rPr>
        <w:t>Purpose of Engagement</w:t>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p>
    <w:p w14:paraId="62DAE789" w14:textId="77777777" w:rsidR="007F1E20" w:rsidRDefault="007F1E20">
      <w:pPr>
        <w:shd w:val="clear" w:color="auto" w:fill="FFFFFF"/>
        <w:rPr>
          <w:rFonts w:ascii="Calibri" w:eastAsia="Calibri" w:hAnsi="Calibri" w:cs="Calibri"/>
          <w:sz w:val="22"/>
          <w:szCs w:val="22"/>
        </w:rPr>
      </w:pPr>
    </w:p>
    <w:p w14:paraId="02F16364" w14:textId="77777777" w:rsidR="007F1E20" w:rsidRDefault="00066B76">
      <w:pPr>
        <w:rPr>
          <w:rFonts w:ascii="Calibri" w:eastAsia="Calibri" w:hAnsi="Calibri" w:cs="Calibri"/>
          <w:sz w:val="22"/>
          <w:szCs w:val="22"/>
        </w:rPr>
      </w:pPr>
      <w:r>
        <w:rPr>
          <w:rFonts w:ascii="Calibri" w:eastAsia="Calibri" w:hAnsi="Calibri" w:cs="Calibri"/>
          <w:color w:val="000000"/>
          <w:sz w:val="22"/>
          <w:szCs w:val="22"/>
        </w:rPr>
        <w:t>This GIZ Digital Agriculture Africa (DAA) and smart development fund aims to promote zero contact and prevent the spread of COVID-19 by utilizing technology to expand access to food, improve distribution of agriculture outputs by consumers through support farmers utilize updated agriculture extension information to bolster production, cultivation,</w:t>
      </w:r>
      <w:r>
        <w:rPr>
          <w:rFonts w:ascii="Calibri" w:eastAsia="Calibri" w:hAnsi="Calibri" w:cs="Calibri"/>
          <w:color w:val="FF0000"/>
          <w:sz w:val="22"/>
          <w:szCs w:val="22"/>
        </w:rPr>
        <w:t xml:space="preserve"> </w:t>
      </w:r>
      <w:proofErr w:type="gramStart"/>
      <w:r>
        <w:rPr>
          <w:rFonts w:ascii="Calibri" w:eastAsia="Calibri" w:hAnsi="Calibri" w:cs="Calibri"/>
          <w:color w:val="000000"/>
          <w:sz w:val="22"/>
          <w:szCs w:val="22"/>
        </w:rPr>
        <w:t>marketing</w:t>
      </w:r>
      <w:proofErr w:type="gramEnd"/>
      <w:r>
        <w:rPr>
          <w:rFonts w:ascii="Calibri" w:eastAsia="Calibri" w:hAnsi="Calibri" w:cs="Calibri"/>
          <w:color w:val="000000"/>
          <w:sz w:val="22"/>
          <w:szCs w:val="22"/>
        </w:rPr>
        <w:t xml:space="preserve"> and distribution of food in Kenya and Nigeria. </w:t>
      </w:r>
    </w:p>
    <w:p w14:paraId="017EA708" w14:textId="77777777" w:rsidR="007F1E20" w:rsidRDefault="007F1E20">
      <w:pPr>
        <w:shd w:val="clear" w:color="auto" w:fill="FFFFFF"/>
        <w:jc w:val="both"/>
        <w:rPr>
          <w:rFonts w:ascii="Calibri" w:eastAsia="Calibri" w:hAnsi="Calibri" w:cs="Calibri"/>
          <w:sz w:val="22"/>
          <w:szCs w:val="22"/>
        </w:rPr>
      </w:pPr>
    </w:p>
    <w:p w14:paraId="72DA9E1F" w14:textId="77777777" w:rsidR="007F1E20" w:rsidRDefault="00066B76">
      <w:pPr>
        <w:rPr>
          <w:rFonts w:ascii="Calibri" w:eastAsia="Calibri" w:hAnsi="Calibri" w:cs="Calibri"/>
          <w:sz w:val="22"/>
          <w:szCs w:val="22"/>
        </w:rPr>
      </w:pPr>
      <w:r>
        <w:rPr>
          <w:rFonts w:ascii="Calibri" w:eastAsia="Calibri" w:hAnsi="Calibri" w:cs="Calibri"/>
          <w:sz w:val="22"/>
          <w:szCs w:val="22"/>
        </w:rPr>
        <w:t xml:space="preserve">The consultant </w:t>
      </w:r>
      <w:r>
        <w:rPr>
          <w:rFonts w:ascii="Calibri" w:eastAsia="Calibri" w:hAnsi="Calibri" w:cs="Calibri"/>
          <w:color w:val="000000"/>
          <w:sz w:val="22"/>
          <w:szCs w:val="22"/>
        </w:rPr>
        <w:t xml:space="preserve">will support the development and the implementation of the strategy and recommendations for evolution of the tech architecture for Sprout Platform and its related services.  </w:t>
      </w:r>
      <w:hyperlink r:id="rId9">
        <w:r>
          <w:rPr>
            <w:rFonts w:ascii="Calibri" w:eastAsia="Calibri" w:hAnsi="Calibri" w:cs="Calibri"/>
            <w:color w:val="1155CC"/>
            <w:sz w:val="22"/>
            <w:szCs w:val="22"/>
            <w:u w:val="single"/>
          </w:rPr>
          <w:t>Sprout</w:t>
        </w:r>
      </w:hyperlink>
      <w:r>
        <w:rPr>
          <w:rFonts w:ascii="Calibri" w:eastAsia="Calibri" w:hAnsi="Calibri" w:cs="Calibri"/>
          <w:color w:val="000000"/>
          <w:sz w:val="22"/>
          <w:szCs w:val="22"/>
        </w:rPr>
        <w:t xml:space="preserve"> is the open content data portal where global agriculture experts and farmer facing organizations meet to share and discover farmer-friendly, digital ready content and services designed to build smallholder skills, resilience and income earning opportunities.</w:t>
      </w:r>
    </w:p>
    <w:p w14:paraId="47F0EF49" w14:textId="77777777" w:rsidR="007F1E20" w:rsidRDefault="007F1E20">
      <w:pPr>
        <w:shd w:val="clear" w:color="auto" w:fill="FFFFFF"/>
        <w:jc w:val="both"/>
        <w:rPr>
          <w:rFonts w:ascii="Calibri" w:eastAsia="Calibri" w:hAnsi="Calibri" w:cs="Calibri"/>
          <w:sz w:val="22"/>
          <w:szCs w:val="22"/>
        </w:rPr>
      </w:pPr>
    </w:p>
    <w:p w14:paraId="01189D10" w14:textId="77777777" w:rsidR="007F1E20" w:rsidRDefault="00066B76">
      <w:pPr>
        <w:shd w:val="clear" w:color="auto" w:fill="B80000"/>
        <w:spacing w:after="120"/>
        <w:rPr>
          <w:rFonts w:ascii="Calibri" w:eastAsia="Calibri" w:hAnsi="Calibri" w:cs="Calibri"/>
          <w:b/>
          <w:color w:val="FFFFFF"/>
          <w:sz w:val="22"/>
          <w:szCs w:val="22"/>
        </w:rPr>
      </w:pPr>
      <w:r>
        <w:rPr>
          <w:rFonts w:ascii="Calibri" w:eastAsia="Calibri" w:hAnsi="Calibri" w:cs="Calibri"/>
          <w:b/>
          <w:color w:val="FFFFFF"/>
          <w:sz w:val="22"/>
          <w:szCs w:val="22"/>
        </w:rPr>
        <w:t>Scope of Work</w:t>
      </w:r>
    </w:p>
    <w:p w14:paraId="284E249D" w14:textId="77777777" w:rsidR="007F1E20" w:rsidRDefault="00066B76">
      <w:pPr>
        <w:ind w:right="90"/>
        <w:jc w:val="both"/>
        <w:rPr>
          <w:rFonts w:ascii="Calibri" w:eastAsia="Calibri" w:hAnsi="Calibri" w:cs="Calibri"/>
          <w:sz w:val="22"/>
          <w:szCs w:val="22"/>
        </w:rPr>
      </w:pPr>
      <w:r>
        <w:rPr>
          <w:rFonts w:ascii="Calibri" w:eastAsia="Calibri" w:hAnsi="Calibri" w:cs="Calibri"/>
          <w:color w:val="000000"/>
          <w:sz w:val="22"/>
          <w:szCs w:val="22"/>
        </w:rPr>
        <w:t xml:space="preserve">Sprout is a </w:t>
      </w:r>
      <w:r>
        <w:rPr>
          <w:rFonts w:ascii="Calibri" w:eastAsia="Calibri" w:hAnsi="Calibri" w:cs="Calibri"/>
          <w:b/>
          <w:color w:val="000000"/>
          <w:sz w:val="22"/>
          <w:szCs w:val="22"/>
        </w:rPr>
        <w:t>B</w:t>
      </w:r>
      <w:r>
        <w:rPr>
          <w:rFonts w:ascii="Calibri" w:eastAsia="Calibri" w:hAnsi="Calibri" w:cs="Calibri"/>
          <w:color w:val="000000"/>
          <w:sz w:val="22"/>
          <w:szCs w:val="22"/>
        </w:rPr>
        <w:t xml:space="preserve"> (content/service creator) </w:t>
      </w:r>
      <w:r>
        <w:rPr>
          <w:rFonts w:ascii="Calibri" w:eastAsia="Calibri" w:hAnsi="Calibri" w:cs="Calibri"/>
          <w:b/>
          <w:color w:val="000000"/>
          <w:sz w:val="22"/>
          <w:szCs w:val="22"/>
        </w:rPr>
        <w:t xml:space="preserve">to B </w:t>
      </w:r>
      <w:r>
        <w:rPr>
          <w:rFonts w:ascii="Calibri" w:eastAsia="Calibri" w:hAnsi="Calibri" w:cs="Calibri"/>
          <w:color w:val="000000"/>
          <w:sz w:val="22"/>
          <w:szCs w:val="22"/>
        </w:rPr>
        <w:t xml:space="preserve">(content user/farmer facing organizations) </w:t>
      </w:r>
      <w:r>
        <w:rPr>
          <w:rFonts w:ascii="Calibri" w:eastAsia="Calibri" w:hAnsi="Calibri" w:cs="Calibri"/>
          <w:b/>
          <w:color w:val="000000"/>
          <w:sz w:val="22"/>
          <w:szCs w:val="22"/>
        </w:rPr>
        <w:t>platform</w:t>
      </w:r>
      <w:r>
        <w:rPr>
          <w:rFonts w:ascii="Calibri" w:eastAsia="Calibri" w:hAnsi="Calibri" w:cs="Calibri"/>
          <w:color w:val="000000"/>
          <w:sz w:val="22"/>
          <w:szCs w:val="22"/>
        </w:rPr>
        <w:t xml:space="preserve">. The Sprout Platform is not primarily intended to serve farmers directly. Currently, Sprout offers a wide range </w:t>
      </w:r>
      <w:r>
        <w:rPr>
          <w:rFonts w:ascii="Calibri" w:eastAsia="Calibri" w:hAnsi="Calibri" w:cs="Calibri"/>
          <w:color w:val="000000"/>
          <w:sz w:val="22"/>
          <w:szCs w:val="22"/>
        </w:rPr>
        <w:lastRenderedPageBreak/>
        <w:t xml:space="preserve">of high quality, digital ready, farmer friendly agriculture and cross cutting content in flat files that can be searched, </w:t>
      </w:r>
      <w:proofErr w:type="gramStart"/>
      <w:r>
        <w:rPr>
          <w:rFonts w:ascii="Calibri" w:eastAsia="Calibri" w:hAnsi="Calibri" w:cs="Calibri"/>
          <w:color w:val="000000"/>
          <w:sz w:val="22"/>
          <w:szCs w:val="22"/>
        </w:rPr>
        <w:t>downloaded</w:t>
      </w:r>
      <w:proofErr w:type="gramEnd"/>
      <w:r>
        <w:rPr>
          <w:rFonts w:ascii="Calibri" w:eastAsia="Calibri" w:hAnsi="Calibri" w:cs="Calibri"/>
          <w:color w:val="000000"/>
          <w:sz w:val="22"/>
          <w:szCs w:val="22"/>
        </w:rPr>
        <w:t xml:space="preserve"> and used as is or contextualized by the organization for their farmers.  Sprout also offers Sprout Learning, a WhatsApp for Business service that has content available in English that can be copied by the content using organizations to their own WhatsApp platforms.</w:t>
      </w:r>
    </w:p>
    <w:p w14:paraId="58DF5E8C" w14:textId="77777777" w:rsidR="007F1E20" w:rsidRDefault="007F1E20">
      <w:pPr>
        <w:rPr>
          <w:rFonts w:ascii="Calibri" w:eastAsia="Calibri" w:hAnsi="Calibri" w:cs="Calibri"/>
          <w:sz w:val="22"/>
          <w:szCs w:val="22"/>
        </w:rPr>
      </w:pPr>
    </w:p>
    <w:p w14:paraId="0C3AF917" w14:textId="77777777" w:rsidR="007F1E20" w:rsidRDefault="00066B76">
      <w:pPr>
        <w:ind w:right="90"/>
        <w:jc w:val="both"/>
        <w:rPr>
          <w:rFonts w:ascii="Calibri" w:eastAsia="Calibri" w:hAnsi="Calibri" w:cs="Calibri"/>
          <w:sz w:val="22"/>
          <w:szCs w:val="22"/>
        </w:rPr>
      </w:pPr>
      <w:r>
        <w:rPr>
          <w:rFonts w:ascii="Calibri" w:eastAsia="Calibri" w:hAnsi="Calibri" w:cs="Calibri"/>
          <w:color w:val="000000"/>
          <w:sz w:val="22"/>
          <w:szCs w:val="22"/>
        </w:rPr>
        <w:t>Sprout is currently built on DKAN, but the project team is in the process of moving to CKAN shortly. Sprout Learning WhatsApp for business service is built on Turn.io.</w:t>
      </w:r>
    </w:p>
    <w:p w14:paraId="4D72A971" w14:textId="77777777" w:rsidR="007F1E20" w:rsidRDefault="007F1E20">
      <w:pPr>
        <w:spacing w:after="240"/>
        <w:rPr>
          <w:rFonts w:ascii="Calibri" w:eastAsia="Calibri" w:hAnsi="Calibri" w:cs="Calibri"/>
          <w:sz w:val="22"/>
          <w:szCs w:val="22"/>
        </w:rPr>
      </w:pPr>
    </w:p>
    <w:p w14:paraId="42DB35D5" w14:textId="77777777" w:rsidR="007F1E20" w:rsidRDefault="00066B76">
      <w:pPr>
        <w:ind w:right="90"/>
        <w:jc w:val="both"/>
        <w:rPr>
          <w:rFonts w:ascii="Calibri" w:eastAsia="Calibri" w:hAnsi="Calibri" w:cs="Calibri"/>
          <w:sz w:val="22"/>
          <w:szCs w:val="22"/>
        </w:rPr>
      </w:pPr>
      <w:r>
        <w:rPr>
          <w:rFonts w:ascii="Calibri" w:eastAsia="Calibri" w:hAnsi="Calibri" w:cs="Calibri"/>
          <w:color w:val="000000"/>
          <w:sz w:val="22"/>
          <w:szCs w:val="22"/>
        </w:rPr>
        <w:t>The Chief Technical Architect (CTA) will take the lead in designing the new features and the next phase of development of Sprout Platform with the Mercy Corps AgriFin team and the Kenyan Agriculture and Livestock Organization (KALRO). The CTA will also work with the following sets and types of organizations:</w:t>
      </w:r>
    </w:p>
    <w:p w14:paraId="6EAD07CA" w14:textId="77777777" w:rsidR="007F1E20" w:rsidRDefault="00066B76">
      <w:pPr>
        <w:numPr>
          <w:ilvl w:val="0"/>
          <w:numId w:val="5"/>
        </w:numPr>
        <w:ind w:right="90"/>
        <w:jc w:val="both"/>
        <w:rPr>
          <w:rFonts w:ascii="Calibri" w:eastAsia="Calibri" w:hAnsi="Calibri" w:cs="Calibri"/>
          <w:color w:val="000000"/>
          <w:sz w:val="22"/>
          <w:szCs w:val="22"/>
        </w:rPr>
      </w:pPr>
      <w:r>
        <w:rPr>
          <w:rFonts w:ascii="Calibri" w:eastAsia="Calibri" w:hAnsi="Calibri" w:cs="Calibri"/>
          <w:color w:val="000000"/>
          <w:sz w:val="22"/>
          <w:szCs w:val="22"/>
        </w:rPr>
        <w:t>Content creators (KALRO, AGRA, Ethiopian ATA, Ministries of Agriculture, Research Institutes, CIP, and many others.)</w:t>
      </w:r>
    </w:p>
    <w:p w14:paraId="7F10C14C" w14:textId="77777777" w:rsidR="007F1E20" w:rsidRDefault="00066B76">
      <w:pPr>
        <w:numPr>
          <w:ilvl w:val="0"/>
          <w:numId w:val="5"/>
        </w:numPr>
        <w:ind w:right="90"/>
        <w:jc w:val="both"/>
        <w:rPr>
          <w:rFonts w:ascii="Calibri" w:eastAsia="Calibri" w:hAnsi="Calibri" w:cs="Calibri"/>
          <w:color w:val="000000"/>
          <w:sz w:val="22"/>
          <w:szCs w:val="22"/>
        </w:rPr>
      </w:pPr>
      <w:r>
        <w:rPr>
          <w:rFonts w:ascii="Calibri" w:eastAsia="Calibri" w:hAnsi="Calibri" w:cs="Calibri"/>
          <w:color w:val="000000"/>
          <w:sz w:val="22"/>
          <w:szCs w:val="22"/>
        </w:rPr>
        <w:t xml:space="preserve">Content/Service Providers (CIAT, CGIAR, CYMMT, </w:t>
      </w:r>
      <w:proofErr w:type="spellStart"/>
      <w:r>
        <w:rPr>
          <w:rFonts w:ascii="Calibri" w:eastAsia="Calibri" w:hAnsi="Calibri" w:cs="Calibri"/>
          <w:color w:val="000000"/>
          <w:sz w:val="22"/>
          <w:szCs w:val="22"/>
        </w:rPr>
        <w:t>Ignitia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aWhere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PlantVillage</w:t>
      </w:r>
      <w:proofErr w:type="spellEnd"/>
      <w:r>
        <w:rPr>
          <w:rFonts w:ascii="Calibri" w:eastAsia="Calibri" w:hAnsi="Calibri" w:cs="Calibri"/>
          <w:color w:val="000000"/>
          <w:sz w:val="22"/>
          <w:szCs w:val="22"/>
        </w:rPr>
        <w:t>, Tomorrow.io, and many others) </w:t>
      </w:r>
    </w:p>
    <w:p w14:paraId="40D4769F" w14:textId="77777777" w:rsidR="007F1E20" w:rsidRDefault="00066B76">
      <w:pPr>
        <w:numPr>
          <w:ilvl w:val="0"/>
          <w:numId w:val="5"/>
        </w:numPr>
        <w:ind w:right="90"/>
        <w:jc w:val="both"/>
        <w:rPr>
          <w:rFonts w:ascii="Calibri" w:eastAsia="Calibri" w:hAnsi="Calibri" w:cs="Calibri"/>
          <w:color w:val="000000"/>
          <w:sz w:val="22"/>
          <w:szCs w:val="22"/>
        </w:rPr>
      </w:pPr>
      <w:r>
        <w:rPr>
          <w:rFonts w:ascii="Calibri" w:eastAsia="Calibri" w:hAnsi="Calibri" w:cs="Calibri"/>
          <w:color w:val="000000"/>
          <w:sz w:val="22"/>
          <w:szCs w:val="22"/>
        </w:rPr>
        <w:t xml:space="preserve">content user partners (One Acre, Pula, KALRO, </w:t>
      </w:r>
      <w:proofErr w:type="spellStart"/>
      <w:r>
        <w:rPr>
          <w:rFonts w:ascii="Calibri" w:eastAsia="Calibri" w:hAnsi="Calibri" w:cs="Calibri"/>
          <w:color w:val="000000"/>
          <w:sz w:val="22"/>
          <w:szCs w:val="22"/>
        </w:rPr>
        <w:t>Digifarm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Mshamba</w:t>
      </w:r>
      <w:proofErr w:type="spellEnd"/>
      <w:r>
        <w:rPr>
          <w:rFonts w:ascii="Calibri" w:eastAsia="Calibri" w:hAnsi="Calibri" w:cs="Calibri"/>
          <w:color w:val="000000"/>
          <w:sz w:val="22"/>
          <w:szCs w:val="22"/>
        </w:rPr>
        <w:t xml:space="preserve">, FSPN, </w:t>
      </w:r>
      <w:proofErr w:type="spellStart"/>
      <w:r>
        <w:rPr>
          <w:rFonts w:ascii="Calibri" w:eastAsia="Calibri" w:hAnsi="Calibri" w:cs="Calibri"/>
          <w:color w:val="000000"/>
          <w:sz w:val="22"/>
          <w:szCs w:val="22"/>
        </w:rPr>
        <w:t>CoAmana</w:t>
      </w:r>
      <w:proofErr w:type="spellEnd"/>
      <w:r>
        <w:rPr>
          <w:rFonts w:ascii="Calibri" w:eastAsia="Calibri" w:hAnsi="Calibri" w:cs="Calibri"/>
          <w:color w:val="000000"/>
          <w:sz w:val="22"/>
          <w:szCs w:val="22"/>
        </w:rPr>
        <w:t>, and many others)</w:t>
      </w:r>
    </w:p>
    <w:p w14:paraId="31D78EE6" w14:textId="77777777" w:rsidR="007F1E20" w:rsidRDefault="00066B76">
      <w:pPr>
        <w:numPr>
          <w:ilvl w:val="0"/>
          <w:numId w:val="5"/>
        </w:numPr>
        <w:ind w:right="90"/>
        <w:jc w:val="both"/>
        <w:rPr>
          <w:rFonts w:ascii="Calibri" w:eastAsia="Calibri" w:hAnsi="Calibri" w:cs="Calibri"/>
          <w:color w:val="000000"/>
          <w:sz w:val="22"/>
          <w:szCs w:val="22"/>
        </w:rPr>
      </w:pPr>
      <w:r>
        <w:rPr>
          <w:rFonts w:ascii="Calibri" w:eastAsia="Calibri" w:hAnsi="Calibri" w:cs="Calibri"/>
          <w:color w:val="000000"/>
          <w:sz w:val="22"/>
          <w:szCs w:val="22"/>
        </w:rPr>
        <w:t>digitally enabled farmers</w:t>
      </w:r>
    </w:p>
    <w:p w14:paraId="3591DEEE" w14:textId="77777777" w:rsidR="007F1E20" w:rsidRDefault="007F1E20">
      <w:pPr>
        <w:rPr>
          <w:rFonts w:ascii="Calibri" w:eastAsia="Calibri" w:hAnsi="Calibri" w:cs="Calibri"/>
          <w:sz w:val="22"/>
          <w:szCs w:val="22"/>
        </w:rPr>
      </w:pPr>
    </w:p>
    <w:p w14:paraId="38220DFA" w14:textId="77777777" w:rsidR="007F1E20" w:rsidRDefault="00066B76">
      <w:pPr>
        <w:ind w:right="90"/>
        <w:jc w:val="both"/>
        <w:rPr>
          <w:rFonts w:ascii="Calibri" w:eastAsia="Calibri" w:hAnsi="Calibri" w:cs="Calibri"/>
          <w:sz w:val="22"/>
          <w:szCs w:val="22"/>
        </w:rPr>
      </w:pPr>
      <w:r>
        <w:rPr>
          <w:rFonts w:ascii="Calibri" w:eastAsia="Calibri" w:hAnsi="Calibri" w:cs="Calibri"/>
          <w:color w:val="000000"/>
          <w:sz w:val="22"/>
          <w:szCs w:val="22"/>
        </w:rPr>
        <w:t>The CTA will be expected to lead and work with the project team on how best to identify and how to best enable Sprout Platform to offer intelligent advisory and marketplace services through the platform. These services will be built upon the existing platform, capabilities and offer:</w:t>
      </w:r>
    </w:p>
    <w:p w14:paraId="0D7F0E88" w14:textId="77777777" w:rsidR="007F1E20" w:rsidRDefault="007F1E20">
      <w:pPr>
        <w:rPr>
          <w:rFonts w:ascii="Calibri" w:eastAsia="Calibri" w:hAnsi="Calibri" w:cs="Calibri"/>
          <w:sz w:val="22"/>
          <w:szCs w:val="22"/>
        </w:rPr>
      </w:pPr>
    </w:p>
    <w:p w14:paraId="5E5D41A9" w14:textId="77777777" w:rsidR="007F1E20" w:rsidRDefault="00066B76">
      <w:pPr>
        <w:numPr>
          <w:ilvl w:val="0"/>
          <w:numId w:val="6"/>
        </w:numPr>
        <w:ind w:right="90"/>
        <w:jc w:val="both"/>
        <w:rPr>
          <w:rFonts w:ascii="Calibri" w:eastAsia="Calibri" w:hAnsi="Calibri" w:cs="Calibri"/>
          <w:color w:val="000000"/>
          <w:sz w:val="22"/>
          <w:szCs w:val="22"/>
        </w:rPr>
      </w:pPr>
      <w:r>
        <w:rPr>
          <w:rFonts w:ascii="Calibri" w:eastAsia="Calibri" w:hAnsi="Calibri" w:cs="Calibri"/>
          <w:color w:val="000000"/>
          <w:sz w:val="22"/>
          <w:szCs w:val="22"/>
        </w:rPr>
        <w:t>platform content /services organizations the ability to connect to the Sprout platform and directly reach farmer facing organizations and their millions of users in a uniform way</w:t>
      </w:r>
    </w:p>
    <w:p w14:paraId="3AACCA76" w14:textId="77777777" w:rsidR="007F1E20" w:rsidRDefault="00066B76">
      <w:pPr>
        <w:numPr>
          <w:ilvl w:val="0"/>
          <w:numId w:val="6"/>
        </w:numPr>
        <w:ind w:right="90"/>
        <w:jc w:val="both"/>
        <w:rPr>
          <w:rFonts w:ascii="Calibri" w:eastAsia="Calibri" w:hAnsi="Calibri" w:cs="Calibri"/>
          <w:color w:val="000000"/>
          <w:sz w:val="22"/>
          <w:szCs w:val="22"/>
        </w:rPr>
      </w:pPr>
      <w:r>
        <w:rPr>
          <w:rFonts w:ascii="Calibri" w:eastAsia="Calibri" w:hAnsi="Calibri" w:cs="Calibri"/>
          <w:color w:val="000000"/>
          <w:sz w:val="22"/>
          <w:szCs w:val="22"/>
        </w:rPr>
        <w:t xml:space="preserve">content/service users (farmer facing organizations) who connect into the platform to have the ability for their respective farmer to have access advisory information and services based on the data that farmer facing organizations have about their farmers (i.e. GPS coordinates, plot size, primary and secondary commodities, </w:t>
      </w:r>
      <w:proofErr w:type="gramStart"/>
      <w:r>
        <w:rPr>
          <w:rFonts w:ascii="Calibri" w:eastAsia="Calibri" w:hAnsi="Calibri" w:cs="Calibri"/>
          <w:color w:val="000000"/>
          <w:sz w:val="22"/>
          <w:szCs w:val="22"/>
        </w:rPr>
        <w:t>etc. )</w:t>
      </w:r>
      <w:proofErr w:type="gramEnd"/>
      <w:r>
        <w:rPr>
          <w:rFonts w:ascii="Calibri" w:eastAsia="Calibri" w:hAnsi="Calibri" w:cs="Calibri"/>
          <w:color w:val="000000"/>
          <w:sz w:val="22"/>
          <w:szCs w:val="22"/>
        </w:rPr>
        <w:t xml:space="preserve"> in a uniform way</w:t>
      </w:r>
    </w:p>
    <w:p w14:paraId="11DFD115" w14:textId="77777777" w:rsidR="007F1E20" w:rsidRDefault="007F1E20">
      <w:pPr>
        <w:rPr>
          <w:rFonts w:ascii="Calibri" w:eastAsia="Calibri" w:hAnsi="Calibri" w:cs="Calibri"/>
          <w:sz w:val="22"/>
          <w:szCs w:val="22"/>
        </w:rPr>
      </w:pPr>
    </w:p>
    <w:p w14:paraId="5264DFA8" w14:textId="77777777" w:rsidR="007F1E20" w:rsidRDefault="00066B76">
      <w:pPr>
        <w:ind w:right="90"/>
        <w:jc w:val="both"/>
        <w:rPr>
          <w:rFonts w:ascii="Calibri" w:eastAsia="Calibri" w:hAnsi="Calibri" w:cs="Calibri"/>
          <w:sz w:val="22"/>
          <w:szCs w:val="22"/>
        </w:rPr>
      </w:pPr>
      <w:r>
        <w:rPr>
          <w:rFonts w:ascii="Calibri" w:eastAsia="Calibri" w:hAnsi="Calibri" w:cs="Calibri"/>
          <w:color w:val="000000"/>
          <w:sz w:val="22"/>
          <w:szCs w:val="22"/>
        </w:rPr>
        <w:t>The CTA will be responsible for identifying the technical approach, developing a roadmap for implementing an MVP with 1-2 content providers, 1-2 service providers and 4+ farmer facing organizations.</w:t>
      </w:r>
    </w:p>
    <w:p w14:paraId="02E4FF62" w14:textId="77777777" w:rsidR="007F1E20" w:rsidRDefault="007F1E20">
      <w:pPr>
        <w:rPr>
          <w:rFonts w:ascii="Calibri" w:eastAsia="Calibri" w:hAnsi="Calibri" w:cs="Calibri"/>
          <w:sz w:val="22"/>
          <w:szCs w:val="22"/>
        </w:rPr>
      </w:pPr>
    </w:p>
    <w:p w14:paraId="262613CB" w14:textId="77777777" w:rsidR="007F1E20" w:rsidRDefault="00066B76">
      <w:pPr>
        <w:rPr>
          <w:rFonts w:ascii="Calibri" w:eastAsia="Calibri" w:hAnsi="Calibri" w:cs="Calibri"/>
          <w:sz w:val="22"/>
          <w:szCs w:val="22"/>
        </w:rPr>
      </w:pPr>
      <w:r>
        <w:rPr>
          <w:rFonts w:ascii="Calibri" w:eastAsia="Calibri" w:hAnsi="Calibri" w:cs="Calibri"/>
          <w:color w:val="000000"/>
          <w:sz w:val="22"/>
          <w:szCs w:val="22"/>
        </w:rPr>
        <w:t>The CTA will:</w:t>
      </w:r>
    </w:p>
    <w:p w14:paraId="1DD20747" w14:textId="77777777" w:rsidR="007F1E20" w:rsidRDefault="00066B76">
      <w:pPr>
        <w:numPr>
          <w:ilvl w:val="0"/>
          <w:numId w:val="1"/>
        </w:numPr>
        <w:rPr>
          <w:rFonts w:ascii="Calibri" w:eastAsia="Calibri" w:hAnsi="Calibri" w:cs="Calibri"/>
          <w:color w:val="000000"/>
          <w:sz w:val="22"/>
          <w:szCs w:val="22"/>
        </w:rPr>
      </w:pPr>
      <w:r>
        <w:rPr>
          <w:rFonts w:ascii="Calibri" w:eastAsia="Calibri" w:hAnsi="Calibri" w:cs="Calibri"/>
          <w:color w:val="000000"/>
          <w:sz w:val="22"/>
          <w:szCs w:val="22"/>
        </w:rPr>
        <w:t xml:space="preserve">Engage with the AgriFin and KALRO teams to develop the short-term project strategy and longer-term growth strategy for the Sprout Platform to evolve toward a global open access platform for any actor in the digital ecosystem that is intends to support and/or provide services towards smallholder </w:t>
      </w:r>
      <w:proofErr w:type="gramStart"/>
      <w:r>
        <w:rPr>
          <w:rFonts w:ascii="Calibri" w:eastAsia="Calibri" w:hAnsi="Calibri" w:cs="Calibri"/>
          <w:color w:val="000000"/>
          <w:sz w:val="22"/>
          <w:szCs w:val="22"/>
        </w:rPr>
        <w:t>farmers;</w:t>
      </w:r>
      <w:proofErr w:type="gramEnd"/>
    </w:p>
    <w:p w14:paraId="1D6DDF93" w14:textId="77777777" w:rsidR="007F1E20" w:rsidRDefault="00066B76">
      <w:pPr>
        <w:numPr>
          <w:ilvl w:val="0"/>
          <w:numId w:val="1"/>
        </w:numPr>
        <w:rPr>
          <w:rFonts w:ascii="Calibri" w:eastAsia="Calibri" w:hAnsi="Calibri" w:cs="Calibri"/>
          <w:color w:val="000000"/>
          <w:sz w:val="22"/>
          <w:szCs w:val="22"/>
        </w:rPr>
      </w:pPr>
      <w:r>
        <w:rPr>
          <w:rFonts w:ascii="Calibri" w:eastAsia="Calibri" w:hAnsi="Calibri" w:cs="Calibri"/>
          <w:color w:val="000000"/>
          <w:sz w:val="22"/>
          <w:szCs w:val="22"/>
        </w:rPr>
        <w:t>Engage and meet with partners &amp; farmers to further define and understand use cases, prerequisites, and capabilities to design the requirements for the platform. </w:t>
      </w:r>
    </w:p>
    <w:p w14:paraId="1B26C766" w14:textId="77777777" w:rsidR="007F1E20" w:rsidRDefault="00066B76">
      <w:pPr>
        <w:numPr>
          <w:ilvl w:val="0"/>
          <w:numId w:val="1"/>
        </w:numPr>
        <w:rPr>
          <w:rFonts w:ascii="Calibri" w:eastAsia="Calibri" w:hAnsi="Calibri" w:cs="Calibri"/>
          <w:color w:val="000000"/>
          <w:sz w:val="22"/>
          <w:szCs w:val="22"/>
        </w:rPr>
      </w:pPr>
      <w:r>
        <w:rPr>
          <w:rFonts w:ascii="Calibri" w:eastAsia="Calibri" w:hAnsi="Calibri" w:cs="Calibri"/>
          <w:color w:val="000000"/>
          <w:sz w:val="22"/>
          <w:szCs w:val="22"/>
        </w:rPr>
        <w:t>Provide recommended specifications around the technology architecture for the pilot MVP delivery, as well as recommendations for its future development.</w:t>
      </w:r>
    </w:p>
    <w:p w14:paraId="39BC41FD" w14:textId="77777777" w:rsidR="007F1E20" w:rsidRDefault="00066B76">
      <w:pPr>
        <w:numPr>
          <w:ilvl w:val="0"/>
          <w:numId w:val="1"/>
        </w:numPr>
        <w:rPr>
          <w:rFonts w:ascii="Calibri" w:eastAsia="Calibri" w:hAnsi="Calibri" w:cs="Calibri"/>
          <w:color w:val="000000"/>
          <w:sz w:val="22"/>
          <w:szCs w:val="22"/>
        </w:rPr>
      </w:pPr>
      <w:r>
        <w:rPr>
          <w:rFonts w:ascii="Calibri" w:eastAsia="Calibri" w:hAnsi="Calibri" w:cs="Calibri"/>
          <w:color w:val="000000"/>
          <w:sz w:val="22"/>
          <w:szCs w:val="22"/>
        </w:rPr>
        <w:t>Identify potential solution providers and/or technical design partner or skills required for implementation</w:t>
      </w:r>
    </w:p>
    <w:p w14:paraId="063C47A7" w14:textId="77777777" w:rsidR="007F1E20" w:rsidRDefault="00066B76">
      <w:pPr>
        <w:numPr>
          <w:ilvl w:val="0"/>
          <w:numId w:val="1"/>
        </w:numPr>
        <w:rPr>
          <w:rFonts w:ascii="Calibri" w:eastAsia="Calibri" w:hAnsi="Calibri" w:cs="Calibri"/>
          <w:color w:val="000000"/>
          <w:sz w:val="22"/>
          <w:szCs w:val="22"/>
        </w:rPr>
      </w:pPr>
      <w:r>
        <w:rPr>
          <w:rFonts w:ascii="Calibri" w:eastAsia="Calibri" w:hAnsi="Calibri" w:cs="Calibri"/>
          <w:color w:val="000000"/>
          <w:sz w:val="22"/>
          <w:szCs w:val="22"/>
        </w:rPr>
        <w:t>Provide advisory and guidance around the MVP product parameters and support testing the newly designed features</w:t>
      </w:r>
    </w:p>
    <w:p w14:paraId="519582BF" w14:textId="77777777" w:rsidR="007F1E20" w:rsidRDefault="00066B76">
      <w:pPr>
        <w:numPr>
          <w:ilvl w:val="0"/>
          <w:numId w:val="1"/>
        </w:numPr>
        <w:rPr>
          <w:rFonts w:ascii="Calibri" w:eastAsia="Calibri" w:hAnsi="Calibri" w:cs="Calibri"/>
          <w:color w:val="000000"/>
          <w:sz w:val="22"/>
          <w:szCs w:val="22"/>
        </w:rPr>
      </w:pPr>
      <w:r>
        <w:rPr>
          <w:rFonts w:ascii="Calibri" w:eastAsia="Calibri" w:hAnsi="Calibri" w:cs="Calibri"/>
          <w:color w:val="000000"/>
          <w:sz w:val="22"/>
          <w:szCs w:val="22"/>
        </w:rPr>
        <w:lastRenderedPageBreak/>
        <w:t>Support the development of the next phase development of this facility with DAA, as well as the longer-term product roadmap for the facility as an AgriFin initiative moving forward.</w:t>
      </w:r>
    </w:p>
    <w:p w14:paraId="6FC5B240" w14:textId="77777777" w:rsidR="007F1E20" w:rsidRDefault="007F1E20">
      <w:pPr>
        <w:pBdr>
          <w:top w:val="nil"/>
          <w:left w:val="nil"/>
          <w:bottom w:val="nil"/>
          <w:right w:val="nil"/>
          <w:between w:val="nil"/>
        </w:pBdr>
        <w:spacing w:before="60" w:after="60"/>
        <w:ind w:left="720"/>
        <w:jc w:val="both"/>
        <w:rPr>
          <w:rFonts w:ascii="Calibri" w:eastAsia="Calibri" w:hAnsi="Calibri" w:cs="Calibri"/>
          <w:color w:val="000000"/>
          <w:sz w:val="22"/>
          <w:szCs w:val="22"/>
        </w:rPr>
      </w:pPr>
    </w:p>
    <w:p w14:paraId="0E542B6D" w14:textId="77777777" w:rsidR="007F1E20" w:rsidRDefault="00066B76">
      <w:pPr>
        <w:shd w:val="clear" w:color="auto" w:fill="B80000"/>
        <w:spacing w:after="120"/>
        <w:jc w:val="both"/>
        <w:rPr>
          <w:rFonts w:ascii="Calibri" w:eastAsia="Calibri" w:hAnsi="Calibri" w:cs="Calibri"/>
          <w:color w:val="222222"/>
          <w:sz w:val="22"/>
          <w:szCs w:val="22"/>
        </w:rPr>
      </w:pPr>
      <w:r>
        <w:rPr>
          <w:rFonts w:ascii="Calibri" w:eastAsia="Calibri" w:hAnsi="Calibri" w:cs="Calibri"/>
          <w:b/>
          <w:color w:val="FFFFFF"/>
          <w:sz w:val="22"/>
          <w:szCs w:val="22"/>
        </w:rPr>
        <w:t>Deliverables</w:t>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p>
    <w:p w14:paraId="4E12B6E9" w14:textId="77777777" w:rsidR="007F1E20" w:rsidRDefault="00066B76">
      <w:pPr>
        <w:shd w:val="clear" w:color="auto" w:fill="FFFFFF"/>
        <w:rPr>
          <w:rFonts w:ascii="Calibri" w:eastAsia="Calibri" w:hAnsi="Calibri" w:cs="Calibri"/>
          <w:color w:val="222222"/>
          <w:sz w:val="22"/>
          <w:szCs w:val="22"/>
        </w:rPr>
      </w:pPr>
      <w:r>
        <w:rPr>
          <w:rFonts w:ascii="Calibri" w:eastAsia="Calibri" w:hAnsi="Calibri" w:cs="Calibri"/>
          <w:color w:val="222222"/>
          <w:sz w:val="22"/>
          <w:szCs w:val="22"/>
        </w:rPr>
        <w:t>The consultants will provide the following deliverables, with specific timelines to be agreed in the approved consultant workplan:</w:t>
      </w:r>
    </w:p>
    <w:p w14:paraId="3EFFD8F8" w14:textId="77777777" w:rsidR="007F1E20" w:rsidRDefault="007F1E20">
      <w:pPr>
        <w:shd w:val="clear" w:color="auto" w:fill="FFFFFF"/>
        <w:rPr>
          <w:rFonts w:ascii="Calibri" w:eastAsia="Calibri" w:hAnsi="Calibri" w:cs="Calibri"/>
          <w:color w:val="222222"/>
          <w:sz w:val="22"/>
          <w:szCs w:val="22"/>
        </w:rPr>
      </w:pPr>
    </w:p>
    <w:p w14:paraId="78337124" w14:textId="77777777" w:rsidR="007F1E20" w:rsidRDefault="00066B76">
      <w:pPr>
        <w:numPr>
          <w:ilvl w:val="0"/>
          <w:numId w:val="3"/>
        </w:numPr>
        <w:ind w:left="630" w:hanging="270"/>
        <w:rPr>
          <w:rFonts w:ascii="Calibri" w:eastAsia="Calibri" w:hAnsi="Calibri" w:cs="Calibri"/>
          <w:color w:val="222222"/>
          <w:sz w:val="22"/>
          <w:szCs w:val="22"/>
        </w:rPr>
      </w:pPr>
      <w:r>
        <w:rPr>
          <w:rFonts w:ascii="Calibri" w:eastAsia="Calibri" w:hAnsi="Calibri" w:cs="Calibri"/>
          <w:color w:val="222222"/>
          <w:sz w:val="22"/>
          <w:szCs w:val="22"/>
        </w:rPr>
        <w:t>Weekly check-ins minutes with the Task Managers and Sprout Platform Product Lead</w:t>
      </w:r>
    </w:p>
    <w:p w14:paraId="6888641E" w14:textId="77777777" w:rsidR="007F1E20" w:rsidRDefault="00066B76">
      <w:pPr>
        <w:numPr>
          <w:ilvl w:val="0"/>
          <w:numId w:val="3"/>
        </w:numPr>
        <w:ind w:left="630" w:hanging="270"/>
        <w:rPr>
          <w:rFonts w:ascii="Calibri" w:eastAsia="Calibri" w:hAnsi="Calibri" w:cs="Calibri"/>
          <w:color w:val="222222"/>
          <w:sz w:val="22"/>
          <w:szCs w:val="22"/>
        </w:rPr>
      </w:pPr>
      <w:r>
        <w:rPr>
          <w:rFonts w:ascii="Calibri" w:eastAsia="Calibri" w:hAnsi="Calibri" w:cs="Calibri"/>
          <w:color w:val="222222"/>
          <w:sz w:val="22"/>
          <w:szCs w:val="22"/>
        </w:rPr>
        <w:t>Monthly report updating Sprout Platform Project status, potential risks, and any other updates from partnership implementation in the month.</w:t>
      </w:r>
    </w:p>
    <w:p w14:paraId="5375BE6B" w14:textId="77777777" w:rsidR="007F1E20" w:rsidRDefault="00066B76">
      <w:pPr>
        <w:numPr>
          <w:ilvl w:val="0"/>
          <w:numId w:val="3"/>
        </w:numPr>
        <w:ind w:left="630" w:hanging="270"/>
        <w:rPr>
          <w:rFonts w:ascii="Calibri" w:eastAsia="Calibri" w:hAnsi="Calibri" w:cs="Calibri"/>
          <w:color w:val="222222"/>
          <w:sz w:val="22"/>
          <w:szCs w:val="22"/>
        </w:rPr>
      </w:pPr>
      <w:r>
        <w:rPr>
          <w:rFonts w:ascii="Calibri" w:eastAsia="Calibri" w:hAnsi="Calibri" w:cs="Calibri"/>
          <w:color w:val="000000"/>
          <w:sz w:val="22"/>
          <w:szCs w:val="22"/>
        </w:rPr>
        <w:t xml:space="preserve"> Provide support on short/long -term Sprout Platform Strategy and Systems Architecture</w:t>
      </w:r>
    </w:p>
    <w:p w14:paraId="671701CF" w14:textId="77777777" w:rsidR="007F1E20" w:rsidRDefault="00066B76">
      <w:pPr>
        <w:numPr>
          <w:ilvl w:val="0"/>
          <w:numId w:val="3"/>
        </w:numPr>
        <w:ind w:left="630" w:hanging="270"/>
        <w:rPr>
          <w:rFonts w:ascii="Calibri" w:eastAsia="Calibri" w:hAnsi="Calibri" w:cs="Calibri"/>
          <w:color w:val="222222"/>
          <w:sz w:val="22"/>
          <w:szCs w:val="22"/>
        </w:rPr>
      </w:pPr>
      <w:r>
        <w:rPr>
          <w:rFonts w:ascii="Calibri" w:eastAsia="Calibri" w:hAnsi="Calibri" w:cs="Calibri"/>
          <w:color w:val="000000"/>
          <w:sz w:val="22"/>
          <w:szCs w:val="22"/>
        </w:rPr>
        <w:t>MVP design, new products, and systems architecture schema</w:t>
      </w:r>
    </w:p>
    <w:p w14:paraId="78AD5476" w14:textId="77777777" w:rsidR="007F1E20" w:rsidRDefault="00066B76">
      <w:pPr>
        <w:numPr>
          <w:ilvl w:val="0"/>
          <w:numId w:val="3"/>
        </w:numPr>
        <w:ind w:left="630" w:hanging="270"/>
        <w:rPr>
          <w:rFonts w:ascii="Calibri" w:eastAsia="Calibri" w:hAnsi="Calibri" w:cs="Calibri"/>
          <w:color w:val="222222"/>
          <w:sz w:val="22"/>
          <w:szCs w:val="22"/>
        </w:rPr>
      </w:pPr>
      <w:r>
        <w:rPr>
          <w:rFonts w:ascii="Calibri" w:eastAsia="Calibri" w:hAnsi="Calibri" w:cs="Calibri"/>
          <w:color w:val="000000"/>
          <w:sz w:val="22"/>
          <w:szCs w:val="22"/>
        </w:rPr>
        <w:t>Identify and develop list of suppliers and or resources required for the Sprout Platform MVP product development</w:t>
      </w:r>
    </w:p>
    <w:p w14:paraId="2C8E3325" w14:textId="77777777" w:rsidR="007F1E20" w:rsidRDefault="00066B76">
      <w:pPr>
        <w:numPr>
          <w:ilvl w:val="0"/>
          <w:numId w:val="3"/>
        </w:numPr>
        <w:ind w:left="630" w:hanging="270"/>
        <w:rPr>
          <w:rFonts w:ascii="Calibri" w:eastAsia="Calibri" w:hAnsi="Calibri" w:cs="Calibri"/>
          <w:color w:val="222222"/>
          <w:sz w:val="22"/>
          <w:szCs w:val="22"/>
        </w:rPr>
      </w:pPr>
      <w:r>
        <w:rPr>
          <w:rFonts w:ascii="Calibri" w:eastAsia="Calibri" w:hAnsi="Calibri" w:cs="Calibri"/>
          <w:color w:val="000000"/>
          <w:sz w:val="22"/>
          <w:szCs w:val="22"/>
        </w:rPr>
        <w:t>Support implementation of new products and MVPs</w:t>
      </w:r>
    </w:p>
    <w:p w14:paraId="664CEB14" w14:textId="77777777" w:rsidR="007F1E20" w:rsidRDefault="00066B76">
      <w:pPr>
        <w:numPr>
          <w:ilvl w:val="0"/>
          <w:numId w:val="3"/>
        </w:numPr>
        <w:ind w:left="630" w:hanging="270"/>
        <w:rPr>
          <w:rFonts w:ascii="Calibri" w:eastAsia="Calibri" w:hAnsi="Calibri" w:cs="Calibri"/>
          <w:color w:val="222222"/>
          <w:sz w:val="22"/>
          <w:szCs w:val="22"/>
        </w:rPr>
      </w:pPr>
      <w:r>
        <w:rPr>
          <w:rFonts w:ascii="Calibri" w:eastAsia="Calibri" w:hAnsi="Calibri" w:cs="Calibri"/>
          <w:color w:val="000000"/>
          <w:sz w:val="22"/>
          <w:szCs w:val="22"/>
        </w:rPr>
        <w:t>Develop long term digital technology vision, road map, and systems architecture</w:t>
      </w:r>
    </w:p>
    <w:p w14:paraId="2FE359E6" w14:textId="77777777" w:rsidR="007F1E20" w:rsidRDefault="007F1E20">
      <w:pPr>
        <w:shd w:val="clear" w:color="auto" w:fill="FFFFFF"/>
        <w:rPr>
          <w:rFonts w:ascii="Calibri" w:eastAsia="Calibri" w:hAnsi="Calibri" w:cs="Calibri"/>
          <w:color w:val="222222"/>
          <w:sz w:val="22"/>
          <w:szCs w:val="22"/>
        </w:rPr>
      </w:pPr>
    </w:p>
    <w:p w14:paraId="3FFC9B28" w14:textId="77777777" w:rsidR="007F1E20" w:rsidRDefault="00066B76">
      <w:pPr>
        <w:shd w:val="clear" w:color="auto" w:fill="B80000"/>
        <w:spacing w:after="120"/>
        <w:jc w:val="both"/>
        <w:rPr>
          <w:rFonts w:ascii="Calibri" w:eastAsia="Calibri" w:hAnsi="Calibri" w:cs="Calibri"/>
          <w:color w:val="222222"/>
          <w:sz w:val="22"/>
          <w:szCs w:val="22"/>
        </w:rPr>
      </w:pPr>
      <w:r>
        <w:rPr>
          <w:rFonts w:ascii="Calibri" w:eastAsia="Calibri" w:hAnsi="Calibri" w:cs="Calibri"/>
          <w:b/>
          <w:color w:val="FFFFFF"/>
          <w:sz w:val="22"/>
          <w:szCs w:val="22"/>
        </w:rPr>
        <w:t>Required Qualifications</w:t>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p>
    <w:p w14:paraId="58D915C3" w14:textId="77777777" w:rsidR="007F1E20" w:rsidRDefault="00066B76">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10 years’ experience in system architect roles in medium to large customer environments </w:t>
      </w:r>
    </w:p>
    <w:p w14:paraId="1B24B794" w14:textId="77777777" w:rsidR="007F1E20" w:rsidRDefault="00066B76">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Experience managing small development teams across different programming disciplines including cloud, mobile, IoT, and AI</w:t>
      </w:r>
    </w:p>
    <w:p w14:paraId="6AA36528" w14:textId="77777777" w:rsidR="007F1E20" w:rsidRPr="00AD5AB6" w:rsidRDefault="00066B76">
      <w:pPr>
        <w:numPr>
          <w:ilvl w:val="0"/>
          <w:numId w:val="2"/>
        </w:numPr>
        <w:pBdr>
          <w:top w:val="nil"/>
          <w:left w:val="nil"/>
          <w:bottom w:val="nil"/>
          <w:right w:val="nil"/>
          <w:between w:val="nil"/>
        </w:pBdr>
        <w:jc w:val="both"/>
        <w:rPr>
          <w:rFonts w:asciiTheme="majorHAnsi" w:eastAsia="Calibri" w:hAnsiTheme="majorHAnsi" w:cstheme="majorHAnsi"/>
          <w:color w:val="000000"/>
          <w:sz w:val="22"/>
          <w:szCs w:val="22"/>
        </w:rPr>
      </w:pPr>
      <w:r w:rsidRPr="00AD5AB6">
        <w:rPr>
          <w:rFonts w:asciiTheme="majorHAnsi" w:eastAsia="Calibri" w:hAnsiTheme="majorHAnsi" w:cstheme="majorHAnsi"/>
          <w:color w:val="000000"/>
          <w:sz w:val="22"/>
          <w:szCs w:val="22"/>
        </w:rPr>
        <w:t>Experience establishing technology operations and developing technology standards across multiple project teams</w:t>
      </w:r>
    </w:p>
    <w:p w14:paraId="196C98CF" w14:textId="77777777" w:rsidR="007F1E20" w:rsidRPr="00AD5AB6" w:rsidRDefault="00066B76">
      <w:pPr>
        <w:numPr>
          <w:ilvl w:val="0"/>
          <w:numId w:val="2"/>
        </w:numPr>
        <w:pBdr>
          <w:top w:val="nil"/>
          <w:left w:val="nil"/>
          <w:bottom w:val="nil"/>
          <w:right w:val="nil"/>
          <w:between w:val="nil"/>
        </w:pBdr>
        <w:jc w:val="both"/>
        <w:rPr>
          <w:rFonts w:asciiTheme="majorHAnsi" w:eastAsia="Calibri" w:hAnsiTheme="majorHAnsi" w:cstheme="majorHAnsi"/>
          <w:color w:val="000000"/>
          <w:sz w:val="22"/>
          <w:szCs w:val="22"/>
        </w:rPr>
      </w:pPr>
      <w:r w:rsidRPr="00AD5AB6">
        <w:rPr>
          <w:rFonts w:asciiTheme="majorHAnsi" w:eastAsia="Calibri" w:hAnsiTheme="majorHAnsi" w:cstheme="majorHAnsi"/>
          <w:color w:val="000000"/>
          <w:sz w:val="22"/>
          <w:szCs w:val="22"/>
        </w:rPr>
        <w:t>Ability and experience steering multiple software products and teams simultaneously</w:t>
      </w:r>
    </w:p>
    <w:p w14:paraId="10B8FB19" w14:textId="77777777" w:rsidR="00AD5AB6" w:rsidRPr="00AD5AB6" w:rsidRDefault="00066B76" w:rsidP="00AD5AB6">
      <w:pPr>
        <w:numPr>
          <w:ilvl w:val="0"/>
          <w:numId w:val="2"/>
        </w:numPr>
        <w:pBdr>
          <w:top w:val="nil"/>
          <w:left w:val="nil"/>
          <w:bottom w:val="nil"/>
          <w:right w:val="nil"/>
          <w:between w:val="nil"/>
        </w:pBdr>
        <w:jc w:val="both"/>
        <w:rPr>
          <w:rFonts w:asciiTheme="majorHAnsi" w:eastAsia="Calibri" w:hAnsiTheme="majorHAnsi" w:cstheme="majorHAnsi"/>
          <w:color w:val="000000"/>
          <w:sz w:val="22"/>
          <w:szCs w:val="22"/>
        </w:rPr>
      </w:pPr>
      <w:r w:rsidRPr="00AD5AB6">
        <w:rPr>
          <w:rFonts w:asciiTheme="majorHAnsi" w:eastAsia="Calibri" w:hAnsiTheme="majorHAnsi" w:cstheme="majorHAnsi"/>
          <w:color w:val="000000"/>
          <w:sz w:val="22"/>
          <w:szCs w:val="22"/>
        </w:rPr>
        <w:t> Experience in, and knowledge of, complex architectural customer, business, applications and, where appropriate, Infrastructure environments. </w:t>
      </w:r>
    </w:p>
    <w:p w14:paraId="4DC5E23D" w14:textId="5EC5203E" w:rsidR="00AD5AB6" w:rsidRPr="00AD5AB6" w:rsidRDefault="00AD5AB6" w:rsidP="00AD5AB6">
      <w:pPr>
        <w:numPr>
          <w:ilvl w:val="0"/>
          <w:numId w:val="2"/>
        </w:numPr>
        <w:pBdr>
          <w:top w:val="nil"/>
          <w:left w:val="nil"/>
          <w:bottom w:val="nil"/>
          <w:right w:val="nil"/>
          <w:between w:val="nil"/>
        </w:pBdr>
        <w:jc w:val="both"/>
        <w:rPr>
          <w:rFonts w:asciiTheme="majorHAnsi" w:eastAsia="Calibri" w:hAnsiTheme="majorHAnsi" w:cstheme="majorHAnsi"/>
          <w:color w:val="000000"/>
          <w:sz w:val="22"/>
          <w:szCs w:val="22"/>
          <w:highlight w:val="yellow"/>
        </w:rPr>
      </w:pPr>
      <w:r w:rsidRPr="00AD5AB6">
        <w:rPr>
          <w:rFonts w:asciiTheme="majorHAnsi" w:eastAsia="Calibri" w:hAnsiTheme="majorHAnsi" w:cstheme="majorHAnsi"/>
          <w:color w:val="000000"/>
          <w:sz w:val="22"/>
          <w:szCs w:val="22"/>
          <w:highlight w:val="yellow"/>
        </w:rPr>
        <w:t xml:space="preserve">Experience </w:t>
      </w:r>
      <w:r w:rsidRPr="00AD5AB6">
        <w:rPr>
          <w:rFonts w:asciiTheme="majorHAnsi" w:hAnsiTheme="majorHAnsi" w:cstheme="majorHAnsi"/>
          <w:color w:val="000000"/>
          <w:sz w:val="22"/>
          <w:szCs w:val="22"/>
          <w:highlight w:val="yellow"/>
        </w:rPr>
        <w:t xml:space="preserve">designing and implementing </w:t>
      </w:r>
      <w:r w:rsidRPr="00AD5AB6">
        <w:rPr>
          <w:rFonts w:asciiTheme="majorHAnsi" w:hAnsiTheme="majorHAnsi" w:cstheme="majorHAnsi"/>
          <w:color w:val="000000"/>
          <w:sz w:val="22"/>
          <w:szCs w:val="22"/>
          <w:highlight w:val="yellow"/>
        </w:rPr>
        <w:t>SMS</w:t>
      </w:r>
      <w:r w:rsidRPr="00AD5AB6">
        <w:rPr>
          <w:rFonts w:asciiTheme="majorHAnsi" w:hAnsiTheme="majorHAnsi" w:cstheme="majorHAnsi"/>
          <w:color w:val="000000"/>
          <w:sz w:val="22"/>
          <w:szCs w:val="22"/>
          <w:highlight w:val="yellow"/>
        </w:rPr>
        <w:t xml:space="preserve"> and </w:t>
      </w:r>
      <w:r w:rsidRPr="00AD5AB6">
        <w:rPr>
          <w:rFonts w:asciiTheme="majorHAnsi" w:hAnsiTheme="majorHAnsi" w:cstheme="majorHAnsi"/>
          <w:color w:val="000000"/>
          <w:sz w:val="22"/>
          <w:szCs w:val="22"/>
          <w:highlight w:val="yellow"/>
        </w:rPr>
        <w:t>W</w:t>
      </w:r>
      <w:r w:rsidRPr="00AD5AB6">
        <w:rPr>
          <w:rFonts w:asciiTheme="majorHAnsi" w:hAnsiTheme="majorHAnsi" w:cstheme="majorHAnsi"/>
          <w:color w:val="000000"/>
          <w:sz w:val="22"/>
          <w:szCs w:val="22"/>
          <w:highlight w:val="yellow"/>
        </w:rPr>
        <w:t xml:space="preserve">hatsApp for Business platforms, </w:t>
      </w:r>
      <w:r w:rsidRPr="00AD5AB6">
        <w:rPr>
          <w:rFonts w:asciiTheme="majorHAnsi" w:hAnsiTheme="majorHAnsi" w:cstheme="majorHAnsi"/>
          <w:color w:val="000000"/>
          <w:sz w:val="22"/>
          <w:szCs w:val="22"/>
          <w:highlight w:val="yellow"/>
        </w:rPr>
        <w:t xml:space="preserve">Chatbots and </w:t>
      </w:r>
      <w:r w:rsidRPr="00AD5AB6">
        <w:rPr>
          <w:rFonts w:asciiTheme="majorHAnsi" w:hAnsiTheme="majorHAnsi" w:cstheme="majorHAnsi"/>
          <w:color w:val="000000"/>
          <w:sz w:val="22"/>
          <w:szCs w:val="22"/>
          <w:highlight w:val="yellow"/>
        </w:rPr>
        <w:t>other computer programs that simulate human conversation through voice commends or text chats.</w:t>
      </w:r>
    </w:p>
    <w:p w14:paraId="0301C0F2" w14:textId="77777777" w:rsidR="007F1E20" w:rsidRDefault="00066B76">
      <w:pPr>
        <w:numPr>
          <w:ilvl w:val="0"/>
          <w:numId w:val="2"/>
        </w:numPr>
        <w:pBdr>
          <w:top w:val="nil"/>
          <w:left w:val="nil"/>
          <w:bottom w:val="nil"/>
          <w:right w:val="nil"/>
          <w:between w:val="nil"/>
        </w:pBdr>
        <w:jc w:val="both"/>
        <w:rPr>
          <w:rFonts w:ascii="Calibri" w:eastAsia="Calibri" w:hAnsi="Calibri" w:cs="Calibri"/>
          <w:color w:val="000000"/>
          <w:sz w:val="22"/>
          <w:szCs w:val="22"/>
        </w:rPr>
      </w:pPr>
      <w:r w:rsidRPr="00AD5AB6">
        <w:rPr>
          <w:rFonts w:asciiTheme="majorHAnsi" w:eastAsia="Calibri" w:hAnsiTheme="majorHAnsi" w:cstheme="majorHAnsi"/>
          <w:color w:val="000000"/>
          <w:sz w:val="22"/>
          <w:szCs w:val="22"/>
        </w:rPr>
        <w:t>Required deep knowledge of architect processes tools and offering and ability to translate customer requirement</w:t>
      </w:r>
      <w:r>
        <w:rPr>
          <w:rFonts w:ascii="Calibri" w:eastAsia="Calibri" w:hAnsi="Calibri" w:cs="Calibri"/>
          <w:color w:val="000000"/>
          <w:sz w:val="22"/>
          <w:szCs w:val="22"/>
        </w:rPr>
        <w:t xml:space="preserve"> into Sprout Platform and services </w:t>
      </w:r>
    </w:p>
    <w:p w14:paraId="7553AC4C" w14:textId="77777777" w:rsidR="007F1E20" w:rsidRDefault="00066B76">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Experience designing and building technology solutions for emerging markets</w:t>
      </w:r>
    </w:p>
    <w:p w14:paraId="2605DC25" w14:textId="77777777" w:rsidR="007F1E20" w:rsidRDefault="00066B76">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Must be passionate about modern technologies and effectively using them for creating innovative digital solutions</w:t>
      </w:r>
    </w:p>
    <w:p w14:paraId="49DB3DA6" w14:textId="77777777" w:rsidR="007F1E20" w:rsidRDefault="00066B76">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Proven experience in tech design for Developing markets</w:t>
      </w:r>
    </w:p>
    <w:p w14:paraId="7AD8EAB5" w14:textId="77777777" w:rsidR="007F1E20" w:rsidRDefault="00066B76">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Experience developing Platforms/APIs </w:t>
      </w:r>
    </w:p>
    <w:p w14:paraId="6EB1270C" w14:textId="77777777" w:rsidR="007F1E20" w:rsidRDefault="00066B76">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Prior experience with Comprehensive Knowledge Archive Network (CKAN) highly preferred  </w:t>
      </w:r>
    </w:p>
    <w:p w14:paraId="1D33FCF5" w14:textId="77777777" w:rsidR="007F1E20" w:rsidRDefault="00066B76">
      <w:pPr>
        <w:numPr>
          <w:ilvl w:val="0"/>
          <w:numId w:val="2"/>
        </w:numPr>
        <w:pBdr>
          <w:top w:val="nil"/>
          <w:left w:val="nil"/>
          <w:bottom w:val="nil"/>
          <w:right w:val="nil"/>
          <w:between w:val="nil"/>
        </w:pBdr>
        <w:spacing w:after="200"/>
        <w:rPr>
          <w:rFonts w:ascii="Calibri" w:eastAsia="Calibri" w:hAnsi="Calibri" w:cs="Calibri"/>
          <w:color w:val="000000"/>
          <w:sz w:val="22"/>
          <w:szCs w:val="22"/>
        </w:rPr>
      </w:pPr>
      <w:r>
        <w:rPr>
          <w:rFonts w:ascii="Calibri" w:eastAsia="Calibri" w:hAnsi="Calibri" w:cs="Calibri"/>
          <w:color w:val="000000"/>
          <w:sz w:val="22"/>
          <w:szCs w:val="22"/>
          <w:highlight w:val="white"/>
        </w:rPr>
        <w:t xml:space="preserve">Able to manage team and clients remotely   </w:t>
      </w:r>
    </w:p>
    <w:p w14:paraId="6E7C17BF" w14:textId="77777777" w:rsidR="007F1E20" w:rsidRDefault="00066B76">
      <w:pPr>
        <w:shd w:val="clear" w:color="auto" w:fill="B80000"/>
        <w:spacing w:after="120"/>
        <w:jc w:val="both"/>
        <w:rPr>
          <w:rFonts w:ascii="Calibri" w:eastAsia="Calibri" w:hAnsi="Calibri" w:cs="Calibri"/>
          <w:b/>
          <w:color w:val="FFFFFF"/>
          <w:sz w:val="22"/>
          <w:szCs w:val="22"/>
        </w:rPr>
      </w:pPr>
      <w:r>
        <w:rPr>
          <w:rFonts w:ascii="Calibri" w:eastAsia="Calibri" w:hAnsi="Calibri" w:cs="Calibri"/>
          <w:b/>
          <w:color w:val="FFFFFF"/>
          <w:sz w:val="22"/>
          <w:szCs w:val="22"/>
        </w:rPr>
        <w:t>Project Learning Agenda</w:t>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p>
    <w:p w14:paraId="29A7E4F0" w14:textId="77777777" w:rsidR="007F1E20" w:rsidRDefault="00066B76">
      <w:pPr>
        <w:rPr>
          <w:rFonts w:ascii="Calibri" w:eastAsia="Calibri" w:hAnsi="Calibri" w:cs="Calibri"/>
          <w:sz w:val="22"/>
          <w:szCs w:val="22"/>
        </w:rPr>
      </w:pPr>
      <w:r>
        <w:rPr>
          <w:rFonts w:ascii="Calibri" w:eastAsia="Calibri" w:hAnsi="Calibri" w:cs="Calibri"/>
          <w:sz w:val="22"/>
          <w:szCs w:val="22"/>
        </w:rPr>
        <w:t xml:space="preserve">The following Key ADF II Learning Agenda questions will be addressed: </w:t>
      </w:r>
    </w:p>
    <w:p w14:paraId="29068A0E" w14:textId="77777777" w:rsidR="007F1E20" w:rsidRDefault="00066B76">
      <w:pPr>
        <w:numPr>
          <w:ilvl w:val="0"/>
          <w:numId w:val="4"/>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What financial and value-added products and services do SHFs, including women and youth, value most and why?</w:t>
      </w:r>
    </w:p>
    <w:p w14:paraId="7AEAFDC5" w14:textId="77777777" w:rsidR="007F1E20" w:rsidRDefault="00066B76">
      <w:pPr>
        <w:numPr>
          <w:ilvl w:val="0"/>
          <w:numId w:val="4"/>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How does bundling of products and services impact uptake and usage of digital financial services?</w:t>
      </w:r>
    </w:p>
    <w:p w14:paraId="241661BC" w14:textId="77777777" w:rsidR="007F1E20" w:rsidRDefault="00066B76">
      <w:pPr>
        <w:numPr>
          <w:ilvl w:val="0"/>
          <w:numId w:val="4"/>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lastRenderedPageBreak/>
        <w:t>What capacity building tools have the highest impact on SHFs willingness and ability to use digital financial services?</w:t>
      </w:r>
    </w:p>
    <w:p w14:paraId="09B023D2" w14:textId="77777777" w:rsidR="007F1E20" w:rsidRDefault="00066B76">
      <w:pPr>
        <w:numPr>
          <w:ilvl w:val="0"/>
          <w:numId w:val="4"/>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How and to what extent have ADF II partners have been successful to achieve scale and commercial sustainability?</w:t>
      </w:r>
    </w:p>
    <w:p w14:paraId="455ADD72" w14:textId="77777777" w:rsidR="007F1E20" w:rsidRDefault="00066B76">
      <w:pPr>
        <w:numPr>
          <w:ilvl w:val="0"/>
          <w:numId w:val="4"/>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What are the main drivers of success and failure of different partnership and bundled approaches?</w:t>
      </w:r>
    </w:p>
    <w:p w14:paraId="49EE340F" w14:textId="77777777" w:rsidR="007F1E20" w:rsidRDefault="007F1E20">
      <w:pPr>
        <w:jc w:val="both"/>
        <w:rPr>
          <w:rFonts w:ascii="Calibri" w:eastAsia="Calibri" w:hAnsi="Calibri" w:cs="Calibri"/>
          <w:sz w:val="22"/>
          <w:szCs w:val="22"/>
        </w:rPr>
      </w:pPr>
    </w:p>
    <w:p w14:paraId="524FEE87" w14:textId="77777777" w:rsidR="007F1E20" w:rsidRDefault="00066B76">
      <w:pPr>
        <w:shd w:val="clear" w:color="auto" w:fill="B80000"/>
        <w:spacing w:after="120"/>
        <w:jc w:val="both"/>
        <w:rPr>
          <w:rFonts w:ascii="Calibri" w:eastAsia="Calibri" w:hAnsi="Calibri" w:cs="Calibri"/>
          <w:b/>
          <w:i/>
          <w:color w:val="FFFFFF"/>
          <w:sz w:val="22"/>
          <w:szCs w:val="22"/>
        </w:rPr>
      </w:pPr>
      <w:r>
        <w:rPr>
          <w:rFonts w:ascii="Calibri" w:eastAsia="Calibri" w:hAnsi="Calibri" w:cs="Calibri"/>
          <w:b/>
          <w:color w:val="FFFFFF"/>
          <w:sz w:val="22"/>
          <w:szCs w:val="22"/>
        </w:rPr>
        <w:t>Ownership/Control of Work Product/Publication</w:t>
      </w:r>
      <w:r>
        <w:rPr>
          <w:rFonts w:ascii="Calibri" w:eastAsia="Calibri" w:hAnsi="Calibri" w:cs="Calibri"/>
          <w:b/>
          <w:color w:val="FFFFFF"/>
          <w:sz w:val="22"/>
          <w:szCs w:val="22"/>
        </w:rPr>
        <w:tab/>
      </w:r>
    </w:p>
    <w:p w14:paraId="5F7E8B08" w14:textId="77777777" w:rsidR="007F1E20" w:rsidRDefault="00066B76">
      <w:pPr>
        <w:spacing w:after="480"/>
        <w:jc w:val="both"/>
        <w:rPr>
          <w:rFonts w:ascii="Calibri" w:eastAsia="Calibri" w:hAnsi="Calibri" w:cs="Calibri"/>
          <w:sz w:val="22"/>
          <w:szCs w:val="22"/>
        </w:rPr>
      </w:pPr>
      <w:r>
        <w:rPr>
          <w:rFonts w:ascii="Calibri" w:eastAsia="Calibri" w:hAnsi="Calibri" w:cs="Calibri"/>
          <w:sz w:val="22"/>
          <w:szCs w:val="22"/>
        </w:rPr>
        <w:t xml:space="preserve">Matters relating to ownership and control of work product and publication of materials produced during course of this engagement are addressed in the main contract agreement entered between Mercy Corps and the Consultant for performance of services for the Sprout Platform. </w:t>
      </w:r>
    </w:p>
    <w:p w14:paraId="14A89185" w14:textId="77777777" w:rsidR="007F1E20" w:rsidRDefault="00066B76">
      <w:pPr>
        <w:shd w:val="clear" w:color="auto" w:fill="B80000"/>
        <w:spacing w:after="120"/>
        <w:jc w:val="both"/>
        <w:rPr>
          <w:rFonts w:ascii="Calibri" w:eastAsia="Calibri" w:hAnsi="Calibri" w:cs="Calibri"/>
          <w:b/>
          <w:i/>
          <w:color w:val="FFFFFF"/>
          <w:sz w:val="22"/>
          <w:szCs w:val="22"/>
        </w:rPr>
      </w:pPr>
      <w:r>
        <w:rPr>
          <w:rFonts w:ascii="Calibri" w:eastAsia="Calibri" w:hAnsi="Calibri" w:cs="Calibri"/>
          <w:b/>
          <w:color w:val="FFFFFF"/>
          <w:sz w:val="22"/>
          <w:szCs w:val="22"/>
        </w:rPr>
        <w:t xml:space="preserve">Authorship and Acknowledgement </w:t>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p>
    <w:p w14:paraId="21E3461A" w14:textId="77777777" w:rsidR="007F1E20" w:rsidRDefault="00066B76">
      <w:pPr>
        <w:spacing w:after="480"/>
        <w:jc w:val="both"/>
        <w:rPr>
          <w:rFonts w:ascii="Calibri" w:eastAsia="Calibri" w:hAnsi="Calibri" w:cs="Calibri"/>
          <w:sz w:val="22"/>
          <w:szCs w:val="22"/>
        </w:rPr>
      </w:pPr>
      <w:r>
        <w:rPr>
          <w:rFonts w:ascii="Calibri" w:eastAsia="Calibri" w:hAnsi="Calibri" w:cs="Calibri"/>
          <w:sz w:val="22"/>
          <w:szCs w:val="22"/>
        </w:rPr>
        <w:t xml:space="preserve">Matters relating to authorship and acknowledgment of any materials produced by the Consultant </w:t>
      </w:r>
      <w:proofErr w:type="gramStart"/>
      <w:r>
        <w:rPr>
          <w:rFonts w:ascii="Calibri" w:eastAsia="Calibri" w:hAnsi="Calibri" w:cs="Calibri"/>
          <w:sz w:val="22"/>
          <w:szCs w:val="22"/>
        </w:rPr>
        <w:t>during the course of</w:t>
      </w:r>
      <w:proofErr w:type="gramEnd"/>
      <w:r>
        <w:rPr>
          <w:rFonts w:ascii="Calibri" w:eastAsia="Calibri" w:hAnsi="Calibri" w:cs="Calibri"/>
          <w:sz w:val="22"/>
          <w:szCs w:val="22"/>
        </w:rPr>
        <w:t xml:space="preserve"> this engagement are addressed in the main contract agreement entered into between Mercy Corps and the Consultant for performance of services for AgriFin Digital Farmer II.</w:t>
      </w:r>
    </w:p>
    <w:p w14:paraId="2705226C" w14:textId="77777777" w:rsidR="007F1E20" w:rsidRDefault="00066B76">
      <w:pPr>
        <w:shd w:val="clear" w:color="auto" w:fill="B80000"/>
        <w:spacing w:after="120"/>
        <w:jc w:val="both"/>
        <w:rPr>
          <w:rFonts w:ascii="Calibri" w:eastAsia="Calibri" w:hAnsi="Calibri" w:cs="Calibri"/>
          <w:b/>
          <w:color w:val="FFFFFF"/>
          <w:sz w:val="22"/>
          <w:szCs w:val="22"/>
        </w:rPr>
      </w:pPr>
      <w:r>
        <w:rPr>
          <w:rFonts w:ascii="Calibri" w:eastAsia="Calibri" w:hAnsi="Calibri" w:cs="Calibri"/>
          <w:b/>
          <w:color w:val="FFFFFF"/>
          <w:sz w:val="22"/>
          <w:szCs w:val="22"/>
        </w:rPr>
        <w:t>Task Manager/Coordination/Reporting</w:t>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p>
    <w:p w14:paraId="0B064DF2" w14:textId="77777777" w:rsidR="007F1E20" w:rsidRDefault="00066B76">
      <w:pPr>
        <w:rPr>
          <w:rFonts w:ascii="Calibri" w:eastAsia="Calibri" w:hAnsi="Calibri" w:cs="Calibri"/>
          <w:sz w:val="22"/>
          <w:szCs w:val="22"/>
        </w:rPr>
      </w:pPr>
      <w:bookmarkStart w:id="1" w:name="_heading=h.30j0zll" w:colFirst="0" w:colLast="0"/>
      <w:bookmarkEnd w:id="1"/>
      <w:r>
        <w:rPr>
          <w:rFonts w:ascii="Calibri" w:eastAsia="Calibri" w:hAnsi="Calibri" w:cs="Calibri"/>
          <w:sz w:val="22"/>
          <w:szCs w:val="22"/>
        </w:rPr>
        <w:t>The Task Manager for this engagement is the Mercy Corps AgriFin’s Program Deputy Director with oversight from Mercy Corps AgriFin’s Program Director. The consultant will direct all communications to the Task Manager. All invoices will be received by Task Manager, with final approvals by the program Director.</w:t>
      </w:r>
    </w:p>
    <w:p w14:paraId="0BE9060C" w14:textId="77777777" w:rsidR="007F1E20" w:rsidRDefault="007F1E20">
      <w:pPr>
        <w:widowControl w:val="0"/>
        <w:pBdr>
          <w:top w:val="nil"/>
          <w:left w:val="nil"/>
          <w:bottom w:val="nil"/>
          <w:right w:val="nil"/>
          <w:between w:val="nil"/>
        </w:pBdr>
        <w:rPr>
          <w:rFonts w:ascii="Calibri" w:eastAsia="Calibri" w:hAnsi="Calibri" w:cs="Calibri"/>
          <w:sz w:val="22"/>
          <w:szCs w:val="22"/>
        </w:rPr>
      </w:pPr>
    </w:p>
    <w:p w14:paraId="0599B8A1" w14:textId="77777777" w:rsidR="007F1E20" w:rsidRDefault="00066B76">
      <w:pPr>
        <w:pStyle w:val="Heading1"/>
        <w:rPr>
          <w:rFonts w:ascii="Calibri" w:eastAsia="Calibri" w:hAnsi="Calibri" w:cs="Calibri"/>
          <w:sz w:val="22"/>
          <w:szCs w:val="22"/>
        </w:rPr>
      </w:pPr>
      <w:r>
        <w:rPr>
          <w:rFonts w:ascii="Calibri" w:eastAsia="Calibri" w:hAnsi="Calibri" w:cs="Calibri"/>
          <w:sz w:val="22"/>
          <w:szCs w:val="22"/>
        </w:rPr>
        <w:t>Endnotes</w:t>
      </w:r>
    </w:p>
    <w:p w14:paraId="754CA9CA" w14:textId="77777777" w:rsidR="007F1E20" w:rsidRDefault="00066B76">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 xml:space="preserve">1. </w:t>
      </w:r>
      <w:r>
        <w:rPr>
          <w:rFonts w:ascii="Calibri" w:eastAsia="Calibri" w:hAnsi="Calibri" w:cs="Calibri"/>
          <w:color w:val="000000"/>
          <w:sz w:val="22"/>
          <w:szCs w:val="22"/>
        </w:rPr>
        <w:t xml:space="preserve"> IFAD, Smallholders, food security, and the environment, 2013</w:t>
      </w:r>
    </w:p>
    <w:p w14:paraId="191A9828" w14:textId="77777777" w:rsidR="007F1E20" w:rsidRDefault="00066B76">
      <w:pPr>
        <w:pBdr>
          <w:top w:val="nil"/>
          <w:left w:val="nil"/>
          <w:bottom w:val="nil"/>
          <w:right w:val="nil"/>
          <w:between w:val="nil"/>
        </w:pBdr>
        <w:ind w:left="180" w:hanging="180"/>
        <w:jc w:val="both"/>
        <w:rPr>
          <w:rFonts w:ascii="Calibri" w:eastAsia="Calibri" w:hAnsi="Calibri" w:cs="Calibri"/>
          <w:color w:val="000000"/>
          <w:sz w:val="22"/>
          <w:szCs w:val="22"/>
        </w:rPr>
      </w:pPr>
      <w:r>
        <w:rPr>
          <w:rFonts w:ascii="Calibri" w:eastAsia="Calibri" w:hAnsi="Calibri" w:cs="Calibri"/>
          <w:color w:val="000000"/>
          <w:sz w:val="22"/>
          <w:szCs w:val="22"/>
        </w:rPr>
        <w:t>2.  Peck, Anderson, “Segmentation of Smallholder Households: Meeting the Range of Financial Needs in Agricultural Families”, 2013.</w:t>
      </w:r>
    </w:p>
    <w:p w14:paraId="2C4BEE0E" w14:textId="77777777" w:rsidR="007F1E20" w:rsidRDefault="00066B76">
      <w:pPr>
        <w:ind w:left="180" w:hanging="180"/>
        <w:jc w:val="both"/>
        <w:rPr>
          <w:rFonts w:ascii="Calibri" w:eastAsia="Calibri" w:hAnsi="Calibri" w:cs="Calibri"/>
          <w:sz w:val="22"/>
          <w:szCs w:val="22"/>
        </w:rPr>
      </w:pPr>
      <w:r>
        <w:rPr>
          <w:rFonts w:ascii="Calibri" w:eastAsia="Calibri" w:hAnsi="Calibri" w:cs="Calibri"/>
          <w:color w:val="000000"/>
          <w:sz w:val="22"/>
          <w:szCs w:val="22"/>
        </w:rPr>
        <w:t xml:space="preserve">3. </w:t>
      </w:r>
      <w:r>
        <w:rPr>
          <w:rFonts w:ascii="Calibri" w:eastAsia="Calibri" w:hAnsi="Calibri" w:cs="Calibri"/>
          <w:sz w:val="22"/>
          <w:szCs w:val="22"/>
        </w:rPr>
        <w:t xml:space="preserve"> </w:t>
      </w:r>
      <w:hyperlink r:id="rId10">
        <w:r>
          <w:rPr>
            <w:rFonts w:ascii="Calibri" w:eastAsia="Calibri" w:hAnsi="Calibri" w:cs="Calibri"/>
            <w:color w:val="000000"/>
            <w:sz w:val="22"/>
            <w:szCs w:val="22"/>
            <w:u w:val="single"/>
          </w:rPr>
          <w:t>New Partnership for Africa’s Development</w:t>
        </w:r>
      </w:hyperlink>
      <w:r>
        <w:rPr>
          <w:rFonts w:ascii="Calibri" w:eastAsia="Calibri" w:hAnsi="Calibri" w:cs="Calibri"/>
          <w:sz w:val="22"/>
          <w:szCs w:val="22"/>
        </w:rPr>
        <w:t xml:space="preserve">, &amp; </w:t>
      </w:r>
      <w:hyperlink r:id="rId11">
        <w:r>
          <w:rPr>
            <w:rFonts w:ascii="Calibri" w:eastAsia="Calibri" w:hAnsi="Calibri" w:cs="Calibri"/>
            <w:color w:val="000000"/>
            <w:sz w:val="22"/>
            <w:szCs w:val="22"/>
            <w:u w:val="single"/>
          </w:rPr>
          <w:t>http://www.ipsnews.net/2012/12/the-industrialisation-of-africas-smallholder-agriculture/</w:t>
        </w:r>
      </w:hyperlink>
      <w:r>
        <w:rPr>
          <w:rFonts w:ascii="Calibri" w:eastAsia="Calibri" w:hAnsi="Calibri" w:cs="Calibri"/>
          <w:sz w:val="22"/>
          <w:szCs w:val="22"/>
        </w:rPr>
        <w:t xml:space="preserve"> </w:t>
      </w:r>
    </w:p>
    <w:p w14:paraId="77F85969" w14:textId="77777777" w:rsidR="007F1E20" w:rsidRDefault="00066B76">
      <w:pPr>
        <w:pBdr>
          <w:top w:val="nil"/>
          <w:left w:val="nil"/>
          <w:bottom w:val="nil"/>
          <w:right w:val="nil"/>
          <w:between w:val="nil"/>
        </w:pBdr>
        <w:ind w:left="180" w:hanging="180"/>
        <w:jc w:val="both"/>
        <w:rPr>
          <w:rFonts w:ascii="Calibri" w:eastAsia="Calibri" w:hAnsi="Calibri" w:cs="Calibri"/>
          <w:color w:val="000000"/>
          <w:sz w:val="22"/>
          <w:szCs w:val="22"/>
        </w:rPr>
      </w:pPr>
      <w:r>
        <w:rPr>
          <w:rFonts w:ascii="Calibri" w:eastAsia="Calibri" w:hAnsi="Calibri" w:cs="Calibri"/>
          <w:sz w:val="22"/>
          <w:szCs w:val="22"/>
        </w:rPr>
        <w:t xml:space="preserve">4. </w:t>
      </w:r>
      <w:r>
        <w:rPr>
          <w:rFonts w:ascii="Calibri" w:eastAsia="Calibri" w:hAnsi="Calibri" w:cs="Calibri"/>
          <w:color w:val="000000"/>
          <w:sz w:val="22"/>
          <w:szCs w:val="22"/>
        </w:rPr>
        <w:t xml:space="preserve"> Peck, Anderson, CGAP 2013</w:t>
      </w:r>
    </w:p>
    <w:p w14:paraId="0D8B188B" w14:textId="77777777" w:rsidR="007F1E20" w:rsidRDefault="00066B76">
      <w:pPr>
        <w:pBdr>
          <w:top w:val="nil"/>
          <w:left w:val="nil"/>
          <w:bottom w:val="nil"/>
          <w:right w:val="nil"/>
          <w:between w:val="nil"/>
        </w:pBdr>
        <w:ind w:left="180" w:hanging="180"/>
        <w:jc w:val="both"/>
        <w:rPr>
          <w:rFonts w:ascii="Calibri" w:eastAsia="Calibri" w:hAnsi="Calibri" w:cs="Calibri"/>
          <w:color w:val="000000"/>
          <w:sz w:val="22"/>
          <w:szCs w:val="22"/>
        </w:rPr>
      </w:pPr>
      <w:r>
        <w:rPr>
          <w:rFonts w:ascii="Calibri" w:eastAsia="Calibri" w:hAnsi="Calibri" w:cs="Calibri"/>
          <w:color w:val="000000"/>
          <w:sz w:val="22"/>
          <w:szCs w:val="22"/>
        </w:rPr>
        <w:t>5.  AgriFin Facility Strategy. World Bank. 2010.</w:t>
      </w:r>
    </w:p>
    <w:p w14:paraId="2C3948AA" w14:textId="77777777" w:rsidR="007F1E20" w:rsidRDefault="00066B76">
      <w:pPr>
        <w:pBdr>
          <w:top w:val="nil"/>
          <w:left w:val="nil"/>
          <w:bottom w:val="nil"/>
          <w:right w:val="nil"/>
          <w:between w:val="nil"/>
        </w:pBdr>
        <w:ind w:left="180" w:hanging="180"/>
        <w:jc w:val="both"/>
        <w:rPr>
          <w:rFonts w:ascii="Calibri" w:eastAsia="Calibri" w:hAnsi="Calibri" w:cs="Calibri"/>
          <w:color w:val="000000"/>
          <w:sz w:val="22"/>
          <w:szCs w:val="22"/>
        </w:rPr>
      </w:pPr>
      <w:r>
        <w:rPr>
          <w:rFonts w:ascii="Calibri" w:eastAsia="Calibri" w:hAnsi="Calibri" w:cs="Calibri"/>
          <w:color w:val="000000"/>
          <w:sz w:val="22"/>
          <w:szCs w:val="22"/>
        </w:rPr>
        <w:t>6. Agriculture sector strategy 2010–2014, African Development Bank; World development report 2008: Agriculture for development, World Bank</w:t>
      </w:r>
    </w:p>
    <w:p w14:paraId="2CA57621" w14:textId="77777777" w:rsidR="007F1E20" w:rsidRDefault="00066B76">
      <w:pPr>
        <w:pBdr>
          <w:top w:val="nil"/>
          <w:left w:val="nil"/>
          <w:bottom w:val="nil"/>
          <w:right w:val="nil"/>
          <w:between w:val="nil"/>
        </w:pBdr>
        <w:ind w:left="180" w:hanging="180"/>
        <w:jc w:val="both"/>
        <w:rPr>
          <w:rFonts w:ascii="Calibri" w:eastAsia="Calibri" w:hAnsi="Calibri" w:cs="Calibri"/>
          <w:color w:val="000000"/>
          <w:sz w:val="22"/>
          <w:szCs w:val="22"/>
        </w:rPr>
      </w:pPr>
      <w:r>
        <w:rPr>
          <w:rFonts w:ascii="Calibri" w:eastAsia="Calibri" w:hAnsi="Calibri" w:cs="Calibri"/>
          <w:color w:val="000000"/>
          <w:sz w:val="22"/>
          <w:szCs w:val="22"/>
        </w:rPr>
        <w:t>7.  Dalberg, 2012</w:t>
      </w:r>
    </w:p>
    <w:p w14:paraId="62B197B1" w14:textId="77777777" w:rsidR="007F1E20" w:rsidRDefault="00066B76">
      <w:pPr>
        <w:pBdr>
          <w:top w:val="nil"/>
          <w:left w:val="nil"/>
          <w:bottom w:val="nil"/>
          <w:right w:val="nil"/>
          <w:between w:val="nil"/>
        </w:pBdr>
        <w:ind w:left="180" w:hanging="180"/>
        <w:jc w:val="both"/>
        <w:rPr>
          <w:rFonts w:ascii="Calibri" w:eastAsia="Calibri" w:hAnsi="Calibri" w:cs="Calibri"/>
          <w:color w:val="000000"/>
          <w:sz w:val="22"/>
          <w:szCs w:val="22"/>
        </w:rPr>
      </w:pPr>
      <w:r>
        <w:rPr>
          <w:rFonts w:ascii="Calibri" w:eastAsia="Calibri" w:hAnsi="Calibri" w:cs="Calibri"/>
          <w:color w:val="000000"/>
          <w:sz w:val="22"/>
          <w:szCs w:val="22"/>
        </w:rPr>
        <w:t>8.  McKinsey, “Lions Go Digital; The Internet’s Transformative Potential in Africa”, 2013.</w:t>
      </w:r>
    </w:p>
    <w:p w14:paraId="52155AFC" w14:textId="77777777" w:rsidR="007F1E20" w:rsidRDefault="00066B76">
      <w:pPr>
        <w:pBdr>
          <w:top w:val="nil"/>
          <w:left w:val="nil"/>
          <w:bottom w:val="nil"/>
          <w:right w:val="nil"/>
          <w:between w:val="nil"/>
        </w:pBdr>
        <w:ind w:left="180" w:hanging="180"/>
        <w:jc w:val="both"/>
        <w:rPr>
          <w:rFonts w:ascii="Calibri" w:eastAsia="Calibri" w:hAnsi="Calibri" w:cs="Calibri"/>
          <w:color w:val="000000"/>
          <w:sz w:val="22"/>
          <w:szCs w:val="22"/>
        </w:rPr>
      </w:pPr>
      <w:r>
        <w:rPr>
          <w:rFonts w:ascii="Calibri" w:eastAsia="Calibri" w:hAnsi="Calibri" w:cs="Calibri"/>
          <w:color w:val="000000"/>
          <w:sz w:val="22"/>
          <w:szCs w:val="22"/>
        </w:rPr>
        <w:t>9.  McKinsey, “Lions go digital: The internet’s transformative potential in Africa”, Nov 2013.</w:t>
      </w:r>
    </w:p>
    <w:p w14:paraId="18504ECA" w14:textId="77777777" w:rsidR="007F1E20" w:rsidRDefault="00066B76">
      <w:pPr>
        <w:pBdr>
          <w:top w:val="nil"/>
          <w:left w:val="nil"/>
          <w:bottom w:val="nil"/>
          <w:right w:val="nil"/>
          <w:between w:val="nil"/>
        </w:pBdr>
        <w:ind w:left="180" w:hanging="180"/>
        <w:jc w:val="both"/>
        <w:rPr>
          <w:rFonts w:ascii="Calibri" w:eastAsia="Calibri" w:hAnsi="Calibri" w:cs="Calibri"/>
          <w:color w:val="000000"/>
          <w:sz w:val="22"/>
          <w:szCs w:val="22"/>
        </w:rPr>
      </w:pPr>
      <w:r>
        <w:rPr>
          <w:rFonts w:ascii="Calibri" w:eastAsia="Calibri" w:hAnsi="Calibri" w:cs="Calibri"/>
          <w:color w:val="000000"/>
          <w:sz w:val="22"/>
          <w:szCs w:val="22"/>
        </w:rPr>
        <w:t xml:space="preserve">10. </w:t>
      </w:r>
      <w:proofErr w:type="spellStart"/>
      <w:r>
        <w:rPr>
          <w:rFonts w:ascii="Calibri" w:eastAsia="Calibri" w:hAnsi="Calibri" w:cs="Calibri"/>
          <w:color w:val="000000"/>
          <w:sz w:val="22"/>
          <w:szCs w:val="22"/>
        </w:rPr>
        <w:t>Schmidhuber</w:t>
      </w:r>
      <w:proofErr w:type="spellEnd"/>
      <w:r>
        <w:rPr>
          <w:rFonts w:ascii="Calibri" w:eastAsia="Calibri" w:hAnsi="Calibri" w:cs="Calibri"/>
          <w:color w:val="000000"/>
          <w:sz w:val="22"/>
          <w:szCs w:val="22"/>
        </w:rPr>
        <w:t xml:space="preserve">, J., </w:t>
      </w:r>
      <w:proofErr w:type="spellStart"/>
      <w:r>
        <w:rPr>
          <w:rFonts w:ascii="Calibri" w:eastAsia="Calibri" w:hAnsi="Calibri" w:cs="Calibri"/>
          <w:color w:val="000000"/>
          <w:sz w:val="22"/>
          <w:szCs w:val="22"/>
        </w:rPr>
        <w:t>Bruinsma</w:t>
      </w:r>
      <w:proofErr w:type="spellEnd"/>
      <w:r>
        <w:rPr>
          <w:rFonts w:ascii="Calibri" w:eastAsia="Calibri" w:hAnsi="Calibri" w:cs="Calibri"/>
          <w:color w:val="000000"/>
          <w:sz w:val="22"/>
          <w:szCs w:val="22"/>
        </w:rPr>
        <w:t xml:space="preserve">, J., and </w:t>
      </w:r>
      <w:proofErr w:type="spellStart"/>
      <w:r>
        <w:rPr>
          <w:rFonts w:ascii="Calibri" w:eastAsia="Calibri" w:hAnsi="Calibri" w:cs="Calibri"/>
          <w:color w:val="000000"/>
          <w:sz w:val="22"/>
          <w:szCs w:val="22"/>
        </w:rPr>
        <w:t>Boedeker</w:t>
      </w:r>
      <w:proofErr w:type="spellEnd"/>
      <w:r>
        <w:rPr>
          <w:rFonts w:ascii="Calibri" w:eastAsia="Calibri" w:hAnsi="Calibri" w:cs="Calibri"/>
          <w:color w:val="000000"/>
          <w:sz w:val="22"/>
          <w:szCs w:val="22"/>
        </w:rPr>
        <w:t>, G, “Capital requirements for agriculture in developing countries to 2050,” Paper presented at the Expert Meeting on How to Feed the World in 2050 of the Food and Agriculture Organization of the United Nations, Rome, Italy. Retrieved from ftp://ftp.fao.org/docrep/fao/012/ak974e/ak974e00.pdf</w:t>
      </w:r>
    </w:p>
    <w:sectPr w:rsidR="007F1E20">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670B2" w14:textId="77777777" w:rsidR="0008615B" w:rsidRDefault="0008615B">
      <w:r>
        <w:separator/>
      </w:r>
    </w:p>
  </w:endnote>
  <w:endnote w:type="continuationSeparator" w:id="0">
    <w:p w14:paraId="1E7EC372" w14:textId="77777777" w:rsidR="0008615B" w:rsidRDefault="0008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Giovanni Book">
    <w:altName w:val="Giovanni Book"/>
    <w:panose1 w:val="020B0604020202020204"/>
    <w:charset w:val="00"/>
    <w:family w:val="roman"/>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9472" w14:textId="77777777" w:rsidR="007F1E20" w:rsidRDefault="00066B76">
    <w:pPr>
      <w:jc w:val="right"/>
    </w:pPr>
    <w:r>
      <w:fldChar w:fldCharType="begin"/>
    </w:r>
    <w:r>
      <w:instrText>PAGE</w:instrText>
    </w:r>
    <w:r>
      <w:fldChar w:fldCharType="separate"/>
    </w:r>
    <w:r w:rsidR="008B77B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BD73F" w14:textId="77777777" w:rsidR="0008615B" w:rsidRDefault="0008615B">
      <w:r>
        <w:separator/>
      </w:r>
    </w:p>
  </w:footnote>
  <w:footnote w:type="continuationSeparator" w:id="0">
    <w:p w14:paraId="4853DB76" w14:textId="77777777" w:rsidR="0008615B" w:rsidRDefault="0008615B">
      <w:r>
        <w:continuationSeparator/>
      </w:r>
    </w:p>
  </w:footnote>
  <w:footnote w:id="1">
    <w:p w14:paraId="33A78D33" w14:textId="77777777" w:rsidR="007F1E20" w:rsidRDefault="00066B76">
      <w:pPr>
        <w:pBdr>
          <w:top w:val="nil"/>
          <w:left w:val="nil"/>
          <w:bottom w:val="nil"/>
          <w:right w:val="nil"/>
          <w:between w:val="nil"/>
        </w:pBdr>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IFAD, Smallholders, food security, and the environment</w:t>
      </w:r>
      <w:r>
        <w:rPr>
          <w:rFonts w:ascii="Cambria" w:eastAsia="Cambria" w:hAnsi="Cambria" w:cs="Cambria"/>
          <w:color w:val="808284"/>
          <w:sz w:val="10"/>
          <w:szCs w:val="10"/>
        </w:rPr>
        <w:t xml:space="preserve">, </w:t>
      </w:r>
      <w:r>
        <w:rPr>
          <w:rFonts w:ascii="Cambria" w:eastAsia="Cambria" w:hAnsi="Cambria" w:cs="Cambria"/>
          <w:color w:val="000000"/>
          <w:sz w:val="10"/>
          <w:szCs w:val="10"/>
        </w:rPr>
        <w:t>2013</w:t>
      </w:r>
    </w:p>
  </w:footnote>
  <w:footnote w:id="2">
    <w:p w14:paraId="3DE0B292" w14:textId="77777777" w:rsidR="007F1E20" w:rsidRDefault="00066B76">
      <w:pPr>
        <w:ind w:left="180" w:hanging="180"/>
        <w:rPr>
          <w:sz w:val="10"/>
          <w:szCs w:val="10"/>
        </w:rPr>
      </w:pPr>
      <w:r>
        <w:rPr>
          <w:vertAlign w:val="superscript"/>
        </w:rPr>
        <w:footnoteRef/>
      </w:r>
      <w:r>
        <w:rPr>
          <w:sz w:val="10"/>
          <w:szCs w:val="10"/>
        </w:rPr>
        <w:t xml:space="preserve"> IFAD, “Sub-Saharan Africa: The state of smallholders in agriculture”, Schonberger and Delaney 2011.</w:t>
      </w:r>
    </w:p>
  </w:footnote>
  <w:footnote w:id="3">
    <w:p w14:paraId="702F6B18" w14:textId="77777777" w:rsidR="007F1E20" w:rsidRDefault="00066B76">
      <w:pPr>
        <w:pBdr>
          <w:top w:val="nil"/>
          <w:left w:val="nil"/>
          <w:bottom w:val="nil"/>
          <w:right w:val="nil"/>
          <w:between w:val="nil"/>
        </w:pBdr>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Peck, Anderson, “Segmentation of Smallholder Households: Meeting the Range of Financial Needs in Agricultural Families”, CGAP Focus Note #85, April 2013.</w:t>
      </w:r>
    </w:p>
  </w:footnote>
  <w:footnote w:id="4">
    <w:p w14:paraId="662C72AD" w14:textId="77777777" w:rsidR="007F1E20" w:rsidRDefault="00066B76">
      <w:pPr>
        <w:pBdr>
          <w:top w:val="nil"/>
          <w:left w:val="nil"/>
          <w:bottom w:val="nil"/>
          <w:right w:val="nil"/>
          <w:between w:val="nil"/>
        </w:pBdr>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Dalberg, 2013</w:t>
      </w:r>
    </w:p>
  </w:footnote>
  <w:footnote w:id="5">
    <w:p w14:paraId="52383388" w14:textId="77777777" w:rsidR="007F1E20" w:rsidRDefault="00066B76">
      <w:pPr>
        <w:pBdr>
          <w:top w:val="nil"/>
          <w:left w:val="nil"/>
          <w:bottom w:val="nil"/>
          <w:right w:val="nil"/>
          <w:between w:val="nil"/>
        </w:pBdr>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Dalberg, 2013</w:t>
      </w:r>
    </w:p>
  </w:footnote>
  <w:footnote w:id="6">
    <w:p w14:paraId="511DDCB2" w14:textId="77777777" w:rsidR="007F1E20" w:rsidRDefault="00066B76">
      <w:pPr>
        <w:pBdr>
          <w:top w:val="nil"/>
          <w:left w:val="nil"/>
          <w:bottom w:val="nil"/>
          <w:right w:val="nil"/>
          <w:between w:val="nil"/>
        </w:pBdr>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MasterCard Foundation, “Inflection Point: Unlocking growth in the era of farmer finance”, April 2016</w:t>
      </w:r>
    </w:p>
  </w:footnote>
  <w:footnote w:id="7">
    <w:p w14:paraId="01A86EE9" w14:textId="77777777" w:rsidR="007F1E20" w:rsidRDefault="00066B76">
      <w:pPr>
        <w:pBdr>
          <w:top w:val="nil"/>
          <w:left w:val="nil"/>
          <w:bottom w:val="nil"/>
          <w:right w:val="nil"/>
          <w:between w:val="nil"/>
        </w:pBdr>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Dalberg,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70EF" w14:textId="77777777" w:rsidR="007F1E20" w:rsidRDefault="00066B76">
    <w:pPr>
      <w:pBdr>
        <w:top w:val="nil"/>
        <w:left w:val="nil"/>
        <w:bottom w:val="nil"/>
        <w:right w:val="nil"/>
        <w:between w:val="nil"/>
      </w:pBdr>
      <w:tabs>
        <w:tab w:val="right" w:pos="7200"/>
      </w:tabs>
      <w:rPr>
        <w:color w:val="000000"/>
      </w:rPr>
    </w:pPr>
    <w:r>
      <w:rPr>
        <w:color w:val="000000"/>
      </w:rPr>
      <w:tab/>
    </w:r>
    <w:r>
      <w:rPr>
        <w:color w:val="000000"/>
      </w:rPr>
      <w:tab/>
    </w:r>
    <w:r>
      <w:rPr>
        <w:noProof/>
      </w:rPr>
      <w:drawing>
        <wp:anchor distT="0" distB="0" distL="114300" distR="114300" simplePos="0" relativeHeight="251658240" behindDoc="0" locked="0" layoutInCell="1" hidden="0" allowOverlap="1" wp14:anchorId="6511D955" wp14:editId="78CB8B2F">
          <wp:simplePos x="0" y="0"/>
          <wp:positionH relativeFrom="column">
            <wp:posOffset>-96979</wp:posOffset>
          </wp:positionH>
          <wp:positionV relativeFrom="paragraph">
            <wp:posOffset>-159325</wp:posOffset>
          </wp:positionV>
          <wp:extent cx="817418" cy="304800"/>
          <wp:effectExtent l="0" t="0" r="0" b="0"/>
          <wp:wrapSquare wrapText="bothSides" distT="0" distB="0" distL="114300" distR="114300"/>
          <wp:docPr id="311" name="image1.png" descr="LogoTAG(rgb)"/>
          <wp:cNvGraphicFramePr/>
          <a:graphic xmlns:a="http://schemas.openxmlformats.org/drawingml/2006/main">
            <a:graphicData uri="http://schemas.openxmlformats.org/drawingml/2006/picture">
              <pic:pic xmlns:pic="http://schemas.openxmlformats.org/drawingml/2006/picture">
                <pic:nvPicPr>
                  <pic:cNvPr id="0" name="image1.png" descr="LogoTAG(rgb)"/>
                  <pic:cNvPicPr preferRelativeResize="0"/>
                </pic:nvPicPr>
                <pic:blipFill>
                  <a:blip r:embed="rId1"/>
                  <a:srcRect b="25467"/>
                  <a:stretch>
                    <a:fillRect/>
                  </a:stretch>
                </pic:blipFill>
                <pic:spPr>
                  <a:xfrm>
                    <a:off x="0" y="0"/>
                    <a:ext cx="817418" cy="304800"/>
                  </a:xfrm>
                  <a:prstGeom prst="rect">
                    <a:avLst/>
                  </a:prstGeom>
                  <a:ln/>
                </pic:spPr>
              </pic:pic>
            </a:graphicData>
          </a:graphic>
        </wp:anchor>
      </w:drawing>
    </w:r>
  </w:p>
  <w:p w14:paraId="058B5EB7" w14:textId="77777777" w:rsidR="007F1E20" w:rsidRDefault="007F1E2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30606"/>
    <w:multiLevelType w:val="multilevel"/>
    <w:tmpl w:val="6EF2CC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33321D0"/>
    <w:multiLevelType w:val="multilevel"/>
    <w:tmpl w:val="D35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0356A2"/>
    <w:multiLevelType w:val="multilevel"/>
    <w:tmpl w:val="ACEA2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143D94"/>
    <w:multiLevelType w:val="multilevel"/>
    <w:tmpl w:val="2494AF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6A407B5"/>
    <w:multiLevelType w:val="multilevel"/>
    <w:tmpl w:val="AC18C0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9350A6D"/>
    <w:multiLevelType w:val="multilevel"/>
    <w:tmpl w:val="BF62B0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5366525"/>
    <w:multiLevelType w:val="multilevel"/>
    <w:tmpl w:val="ED823D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6"/>
  </w:num>
  <w:num w:numId="2">
    <w:abstractNumId w:val="5"/>
  </w:num>
  <w:num w:numId="3">
    <w:abstractNumId w:val="2"/>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E20"/>
    <w:rsid w:val="00066B76"/>
    <w:rsid w:val="0008615B"/>
    <w:rsid w:val="007F1E20"/>
    <w:rsid w:val="008B77BC"/>
    <w:rsid w:val="00AD5AB6"/>
    <w:rsid w:val="00C64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C7AC23"/>
  <w15:docId w15:val="{D4999E73-EACC-B940-9A95-BC26F451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21C"/>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95D97"/>
    <w:pPr>
      <w:tabs>
        <w:tab w:val="center" w:pos="4680"/>
        <w:tab w:val="right" w:pos="9360"/>
      </w:tabs>
    </w:pPr>
  </w:style>
  <w:style w:type="character" w:customStyle="1" w:styleId="HeaderChar">
    <w:name w:val="Header Char"/>
    <w:basedOn w:val="DefaultParagraphFont"/>
    <w:link w:val="Header"/>
    <w:uiPriority w:val="99"/>
    <w:rsid w:val="00895D97"/>
  </w:style>
  <w:style w:type="paragraph" w:styleId="Footer">
    <w:name w:val="footer"/>
    <w:basedOn w:val="Normal"/>
    <w:link w:val="FooterChar"/>
    <w:uiPriority w:val="99"/>
    <w:unhideWhenUsed/>
    <w:rsid w:val="00895D97"/>
    <w:pPr>
      <w:tabs>
        <w:tab w:val="center" w:pos="4680"/>
        <w:tab w:val="right" w:pos="9360"/>
      </w:tabs>
    </w:pPr>
  </w:style>
  <w:style w:type="character" w:customStyle="1" w:styleId="FooterChar">
    <w:name w:val="Footer Char"/>
    <w:basedOn w:val="DefaultParagraphFont"/>
    <w:link w:val="Footer"/>
    <w:uiPriority w:val="99"/>
    <w:rsid w:val="00895D97"/>
  </w:style>
  <w:style w:type="character" w:styleId="CommentReference">
    <w:name w:val="annotation reference"/>
    <w:basedOn w:val="DefaultParagraphFont"/>
    <w:uiPriority w:val="99"/>
    <w:semiHidden/>
    <w:unhideWhenUsed/>
    <w:rsid w:val="00D66F72"/>
    <w:rPr>
      <w:sz w:val="16"/>
      <w:szCs w:val="16"/>
    </w:rPr>
  </w:style>
  <w:style w:type="paragraph" w:styleId="CommentText">
    <w:name w:val="annotation text"/>
    <w:basedOn w:val="Normal"/>
    <w:link w:val="CommentTextChar"/>
    <w:uiPriority w:val="99"/>
    <w:semiHidden/>
    <w:unhideWhenUsed/>
    <w:rsid w:val="00D66F72"/>
    <w:rPr>
      <w:sz w:val="20"/>
      <w:szCs w:val="20"/>
    </w:rPr>
  </w:style>
  <w:style w:type="character" w:customStyle="1" w:styleId="CommentTextChar">
    <w:name w:val="Comment Text Char"/>
    <w:basedOn w:val="DefaultParagraphFont"/>
    <w:link w:val="CommentText"/>
    <w:uiPriority w:val="99"/>
    <w:semiHidden/>
    <w:rsid w:val="00D66F72"/>
    <w:rPr>
      <w:sz w:val="20"/>
      <w:szCs w:val="20"/>
    </w:rPr>
  </w:style>
  <w:style w:type="paragraph" w:styleId="CommentSubject">
    <w:name w:val="annotation subject"/>
    <w:basedOn w:val="CommentText"/>
    <w:next w:val="CommentText"/>
    <w:link w:val="CommentSubjectChar"/>
    <w:uiPriority w:val="99"/>
    <w:semiHidden/>
    <w:unhideWhenUsed/>
    <w:rsid w:val="00D66F72"/>
    <w:rPr>
      <w:b/>
      <w:bCs/>
    </w:rPr>
  </w:style>
  <w:style w:type="character" w:customStyle="1" w:styleId="CommentSubjectChar">
    <w:name w:val="Comment Subject Char"/>
    <w:basedOn w:val="CommentTextChar"/>
    <w:link w:val="CommentSubject"/>
    <w:uiPriority w:val="99"/>
    <w:semiHidden/>
    <w:rsid w:val="00D66F72"/>
    <w:rPr>
      <w:b/>
      <w:bCs/>
      <w:sz w:val="20"/>
      <w:szCs w:val="20"/>
    </w:rPr>
  </w:style>
  <w:style w:type="paragraph" w:styleId="BalloonText">
    <w:name w:val="Balloon Text"/>
    <w:basedOn w:val="Normal"/>
    <w:link w:val="BalloonTextChar"/>
    <w:uiPriority w:val="99"/>
    <w:semiHidden/>
    <w:unhideWhenUsed/>
    <w:rsid w:val="00D66F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F72"/>
    <w:rPr>
      <w:rFonts w:ascii="Segoe UI" w:hAnsi="Segoe UI" w:cs="Segoe UI"/>
      <w:sz w:val="18"/>
      <w:szCs w:val="18"/>
    </w:rPr>
  </w:style>
  <w:style w:type="paragraph" w:styleId="ListParagraph">
    <w:name w:val="List Paragraph"/>
    <w:aliases w:val="Bullet List,FooterText,List with no spacing"/>
    <w:basedOn w:val="Normal"/>
    <w:link w:val="ListParagraphChar"/>
    <w:uiPriority w:val="34"/>
    <w:qFormat/>
    <w:rsid w:val="00896968"/>
    <w:pPr>
      <w:ind w:left="720"/>
      <w:contextualSpacing/>
    </w:pPr>
  </w:style>
  <w:style w:type="character" w:customStyle="1" w:styleId="ListParagraphChar">
    <w:name w:val="List Paragraph Char"/>
    <w:aliases w:val="Bullet List Char,FooterText Char,List with no spacing Char"/>
    <w:basedOn w:val="DefaultParagraphFont"/>
    <w:link w:val="ListParagraph"/>
    <w:uiPriority w:val="34"/>
    <w:rsid w:val="00B50E25"/>
  </w:style>
  <w:style w:type="paragraph" w:customStyle="1" w:styleId="Default">
    <w:name w:val="Default"/>
    <w:rsid w:val="00B02285"/>
    <w:pPr>
      <w:autoSpaceDE w:val="0"/>
      <w:autoSpaceDN w:val="0"/>
      <w:adjustRightInd w:val="0"/>
    </w:pPr>
    <w:rPr>
      <w:rFonts w:eastAsiaTheme="minorEastAsia"/>
      <w:color w:val="000000"/>
    </w:rPr>
  </w:style>
  <w:style w:type="character" w:customStyle="1" w:styleId="A1">
    <w:name w:val="A1"/>
    <w:uiPriority w:val="99"/>
    <w:rsid w:val="00B02285"/>
    <w:rPr>
      <w:rFonts w:cs="Giovanni Book"/>
      <w:color w:val="808284"/>
      <w:sz w:val="52"/>
      <w:szCs w:val="52"/>
    </w:rPr>
  </w:style>
  <w:style w:type="paragraph" w:styleId="EndnoteText">
    <w:name w:val="endnote text"/>
    <w:basedOn w:val="Normal"/>
    <w:link w:val="EndnoteTextChar"/>
    <w:uiPriority w:val="99"/>
    <w:unhideWhenUsed/>
    <w:rsid w:val="00B02285"/>
    <w:rPr>
      <w:rFonts w:asciiTheme="minorHAnsi" w:hAnsiTheme="minorHAnsi"/>
    </w:rPr>
  </w:style>
  <w:style w:type="character" w:customStyle="1" w:styleId="EndnoteTextChar">
    <w:name w:val="Endnote Text Char"/>
    <w:basedOn w:val="DefaultParagraphFont"/>
    <w:link w:val="EndnoteText"/>
    <w:uiPriority w:val="99"/>
    <w:rsid w:val="00B02285"/>
    <w:rPr>
      <w:rFonts w:asciiTheme="minorHAnsi" w:eastAsia="Times New Roman" w:hAnsiTheme="minorHAnsi" w:cs="Times New Roman"/>
      <w:sz w:val="24"/>
      <w:szCs w:val="24"/>
    </w:rPr>
  </w:style>
  <w:style w:type="character" w:styleId="EndnoteReference">
    <w:name w:val="endnote reference"/>
    <w:basedOn w:val="DefaultParagraphFont"/>
    <w:uiPriority w:val="99"/>
    <w:unhideWhenUsed/>
    <w:rsid w:val="00B02285"/>
    <w:rPr>
      <w:vertAlign w:val="superscript"/>
    </w:rPr>
  </w:style>
  <w:style w:type="paragraph" w:styleId="NormalWeb">
    <w:name w:val="Normal (Web)"/>
    <w:basedOn w:val="Normal"/>
    <w:uiPriority w:val="99"/>
    <w:unhideWhenUsed/>
    <w:rsid w:val="003B721C"/>
    <w:pPr>
      <w:spacing w:before="100" w:beforeAutospacing="1" w:after="100" w:afterAutospacing="1"/>
    </w:pPr>
  </w:style>
  <w:style w:type="character" w:styleId="Hyperlink">
    <w:name w:val="Hyperlink"/>
    <w:basedOn w:val="DefaultParagraphFont"/>
    <w:uiPriority w:val="99"/>
    <w:semiHidden/>
    <w:unhideWhenUsed/>
    <w:rsid w:val="003B721C"/>
    <w:rPr>
      <w:color w:val="0000FF"/>
      <w:u w:val="single"/>
    </w:rPr>
  </w:style>
  <w:style w:type="character" w:customStyle="1" w:styleId="apple-tab-span">
    <w:name w:val="apple-tab-span"/>
    <w:basedOn w:val="DefaultParagraphFont"/>
    <w:rsid w:val="00202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a.me/254711943939?text=h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snews.net/2012/12/the-industrialisation-of-africas-smallholder-agricultur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psnews.net/2012/11/striving-to-increase-african-food-productivity/" TargetMode="External"/><Relationship Id="rId4" Type="http://schemas.openxmlformats.org/officeDocument/2006/relationships/settings" Target="settings.xml"/><Relationship Id="rId9" Type="http://schemas.openxmlformats.org/officeDocument/2006/relationships/hyperlink" Target="https://sproutopenconten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GhyZVlnTfaW/bWt+rRqXm/FCqw==">AMUW2mWJl4Cms2fT4bktIwCSu8TpN0A5DFbtT376ubbPjakew1l/mFwmSzMnoe4jM/XXQRLxWHM2hbpUkPOfjrI48SHr1O2uVu81+bjxO20ZlTpL2zgCi+y2zFVR7Bfor1CfAytabeen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2970</Words>
  <Characters>15683</Characters>
  <Application>Microsoft Office Word</Application>
  <DocSecurity>0</DocSecurity>
  <Lines>2613</Lines>
  <Paragraphs>1434</Paragraphs>
  <ScaleCrop>false</ScaleCrop>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marcusalleynwatson</dc:creator>
  <cp:lastModifiedBy>Elias Nure</cp:lastModifiedBy>
  <cp:revision>2</cp:revision>
  <dcterms:created xsi:type="dcterms:W3CDTF">2022-02-04T09:25:00Z</dcterms:created>
  <dcterms:modified xsi:type="dcterms:W3CDTF">2022-02-04T09:25:00Z</dcterms:modified>
</cp:coreProperties>
</file>