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689F46C1" w:rsidR="00A276D5" w:rsidRPr="00157512" w:rsidRDefault="00965245" w:rsidP="00BD2DFA">
            <w:pPr>
              <w:widowControl w:val="0"/>
              <w:spacing w:after="0" w:line="240" w:lineRule="auto"/>
              <w:rPr>
                <w:b/>
                <w:bCs/>
              </w:rPr>
            </w:pPr>
            <w:r w:rsidRPr="00157512">
              <w:rPr>
                <w:b/>
                <w:bCs/>
              </w:rPr>
              <w:t>Tender Name:</w:t>
            </w:r>
            <w:r w:rsidR="00D441C0" w:rsidRPr="00157512">
              <w:rPr>
                <w:b/>
                <w:bCs/>
              </w:rPr>
              <w:t xml:space="preserve"> </w:t>
            </w:r>
            <w:r w:rsidR="00D441C0" w:rsidRPr="00157512">
              <w:rPr>
                <w:b/>
                <w:bCs/>
                <w:sz w:val="22"/>
                <w:szCs w:val="22"/>
              </w:rPr>
              <w:t>Consultancy for</w:t>
            </w:r>
            <w:r w:rsidR="00157512" w:rsidRPr="00157512">
              <w:rPr>
                <w:b/>
                <w:bCs/>
              </w:rPr>
              <w:t xml:space="preserve"> Technology Architect (Individual)</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4CE8F8B8"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D441C0">
              <w:rPr>
                <w:color w:val="000000" w:themeColor="text1"/>
              </w:rPr>
              <w:t>5</w:t>
            </w:r>
            <w:r w:rsidR="00157512">
              <w:rPr>
                <w:color w:val="000000" w:themeColor="text1"/>
              </w:rPr>
              <w:t>4</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58F5E9E" w14:textId="77777777" w:rsidR="0001569D" w:rsidRDefault="00965245" w:rsidP="00BD2DFA">
            <w:pPr>
              <w:rPr>
                <w:color w:val="auto"/>
              </w:rPr>
            </w:pPr>
            <w:r w:rsidRPr="00C072DD">
              <w:rPr>
                <w:color w:val="auto"/>
              </w:rPr>
              <w:t xml:space="preserve">Brief Summary Description of Project: </w:t>
            </w:r>
          </w:p>
          <w:p w14:paraId="09A1D70A" w14:textId="4E721394" w:rsidR="00A276D5" w:rsidRPr="00C072DD" w:rsidRDefault="001E5647" w:rsidP="00BD2DFA">
            <w:pPr>
              <w:rPr>
                <w:color w:val="auto"/>
              </w:rPr>
            </w:pPr>
            <w:r w:rsidRPr="00AC3C65">
              <w:rPr>
                <w:color w:val="auto"/>
              </w:rPr>
              <w:t>Mercy Corps is looking to engage a</w:t>
            </w:r>
            <w:r w:rsidR="00157512" w:rsidRPr="00AC3C65">
              <w:rPr>
                <w:color w:val="auto"/>
              </w:rPr>
              <w:t>n individual</w:t>
            </w:r>
            <w:r w:rsidRPr="00AC3C65">
              <w:rPr>
                <w:color w:val="auto"/>
              </w:rPr>
              <w:t xml:space="preserve"> to provide</w:t>
            </w:r>
            <w:r w:rsidR="00BD2DFA" w:rsidRPr="00AC3C65">
              <w:rPr>
                <w:color w:val="auto"/>
              </w:rPr>
              <w:t xml:space="preserve"> consultancy services </w:t>
            </w:r>
            <w:r w:rsidR="00CF1EE0" w:rsidRPr="00AC3C65">
              <w:rPr>
                <w:color w:val="auto"/>
              </w:rPr>
              <w:t>with</w:t>
            </w:r>
            <w:r w:rsidR="00EC15FD" w:rsidRPr="00AC3C65">
              <w:rPr>
                <w:color w:val="000000"/>
                <w:sz w:val="20"/>
                <w:szCs w:val="20"/>
              </w:rPr>
              <w:t xml:space="preserve"> </w:t>
            </w:r>
            <w:r w:rsidR="00157512" w:rsidRPr="00AC3C65">
              <w:rPr>
                <w:b/>
                <w:bCs/>
              </w:rPr>
              <w:t>Technology Architect</w:t>
            </w:r>
            <w:r w:rsidR="00CF1EE0" w:rsidRPr="00AC3C65">
              <w:rPr>
                <w:b/>
                <w:bCs/>
              </w:rPr>
              <w:t xml:space="preserve">ure </w:t>
            </w:r>
            <w:r w:rsidR="00CF1EE0" w:rsidRPr="00AC3C65">
              <w:t xml:space="preserve">services </w:t>
            </w:r>
            <w:r w:rsidR="00157512" w:rsidRPr="00AC3C65">
              <w:rPr>
                <w:b/>
                <w:bCs/>
              </w:rPr>
              <w:t>.</w:t>
            </w:r>
            <w:r w:rsidR="0001569D" w:rsidRPr="00AC3C65">
              <w:rPr>
                <w:b/>
                <w:bCs/>
              </w:rPr>
              <w:t xml:space="preserve"> </w:t>
            </w:r>
            <w:hyperlink r:id="rId8">
              <w:r w:rsidR="0001569D" w:rsidRPr="00AC3C65">
                <w:rPr>
                  <w:rFonts w:ascii="Calibri" w:eastAsia="Calibri" w:hAnsi="Calibri" w:cs="Calibri"/>
                  <w:color w:val="1155CC"/>
                  <w:sz w:val="22"/>
                  <w:szCs w:val="22"/>
                  <w:u w:val="single"/>
                </w:rPr>
                <w:t>Sprout</w:t>
              </w:r>
            </w:hyperlink>
            <w:r w:rsidR="0001569D" w:rsidRPr="00AC3C65">
              <w:rPr>
                <w:rFonts w:ascii="Calibri" w:eastAsia="Calibri" w:hAnsi="Calibri" w:cs="Calibri"/>
                <w:sz w:val="22"/>
                <w:szCs w:val="22"/>
              </w:rPr>
              <w:t xml:space="preserve"> is </w:t>
            </w:r>
            <w:r w:rsidR="0001569D" w:rsidRPr="00AC3C65">
              <w:rPr>
                <w:color w:val="auto"/>
              </w:rPr>
              <w:t>the open content data portal where global agriculture experts and farmer facing organizations meet to share and discover farmer-friendly, digital ready content and services designed to build smallholder skills, resilience and income earning opportunities</w:t>
            </w:r>
            <w:r w:rsidR="0001569D" w:rsidRPr="00AC3C65">
              <w:rPr>
                <w:rFonts w:ascii="Calibri" w:eastAsia="Calibri" w:hAnsi="Calibri" w:cs="Calibri"/>
                <w:sz w:val="22"/>
                <w:szCs w:val="22"/>
              </w:rPr>
              <w:t>.</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46B335FE" w:rsidR="001E5647" w:rsidRPr="00C072DD" w:rsidRDefault="00AC3C65" w:rsidP="001E5647">
            <w:pPr>
              <w:widowControl w:val="0"/>
              <w:spacing w:after="0" w:line="240" w:lineRule="auto"/>
              <w:rPr>
                <w:b/>
              </w:rPr>
            </w:pPr>
            <w:r>
              <w:rPr>
                <w:b/>
              </w:rPr>
              <w:t>7</w:t>
            </w:r>
            <w:r w:rsidR="00F91DA3" w:rsidRPr="00C072DD">
              <w:rPr>
                <w:b/>
                <w:vertAlign w:val="superscript"/>
              </w:rPr>
              <w:t>th</w:t>
            </w:r>
            <w:r w:rsidR="00F91DA3" w:rsidRPr="00C072DD">
              <w:rPr>
                <w:b/>
              </w:rPr>
              <w:t xml:space="preserve"> </w:t>
            </w:r>
            <w:r w:rsidR="00D441C0">
              <w:rPr>
                <w:b/>
              </w:rPr>
              <w:t>February</w:t>
            </w:r>
            <w:r w:rsidR="006B6C56" w:rsidRPr="00C072DD">
              <w:rPr>
                <w:b/>
              </w:rPr>
              <w:t xml:space="preserve"> 202</w:t>
            </w:r>
            <w:r w:rsidR="00F91DA3"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9F61F6" w:rsidP="006B6C56">
            <w:pPr>
              <w:widowControl w:val="0"/>
              <w:spacing w:after="0" w:line="240" w:lineRule="auto"/>
              <w:rPr>
                <w:b/>
                <w:color w:val="auto"/>
                <w:sz w:val="22"/>
                <w:szCs w:val="22"/>
                <w:u w:val="single"/>
              </w:rPr>
            </w:pPr>
            <w:hyperlink r:id="rId9"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10"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1"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418BDA3D" w:rsidR="00A276D5" w:rsidRPr="00C072DD" w:rsidRDefault="00E87AAF" w:rsidP="001E5647">
            <w:pPr>
              <w:widowControl w:val="0"/>
              <w:spacing w:after="0" w:line="240" w:lineRule="auto"/>
              <w:rPr>
                <w:b/>
              </w:rPr>
            </w:pPr>
            <w:r w:rsidRPr="00C072DD">
              <w:rPr>
                <w:b/>
              </w:rPr>
              <w:t xml:space="preserve"> </w:t>
            </w:r>
            <w:r w:rsidR="00F91DA3" w:rsidRPr="00C072DD">
              <w:rPr>
                <w:b/>
              </w:rPr>
              <w:t>21</w:t>
            </w:r>
            <w:r w:rsidR="00F91DA3" w:rsidRPr="00C072DD">
              <w:rPr>
                <w:b/>
                <w:vertAlign w:val="superscript"/>
              </w:rPr>
              <w:t xml:space="preserve">st </w:t>
            </w:r>
            <w:r w:rsidR="00F91DA3" w:rsidRPr="00C072DD">
              <w:rPr>
                <w:b/>
              </w:rPr>
              <w:t>February</w:t>
            </w:r>
            <w:r w:rsidR="006B6C56" w:rsidRPr="00C072DD">
              <w:rPr>
                <w:b/>
              </w:rPr>
              <w:t xml:space="preserve"> 202</w:t>
            </w:r>
            <w:r w:rsidR="00A97D48"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2"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3" w:tgtFrame="_blank" w:history="1">
              <w:r w:rsidR="006B6C56" w:rsidRPr="00C072DD">
                <w:rPr>
                  <w:rStyle w:val="Hyperlink"/>
                </w:rPr>
                <w:t>www.mercycorpsagrifin.org</w:t>
              </w:r>
            </w:hyperlink>
            <w:r w:rsidR="006B6C56" w:rsidRPr="00C072DD">
              <w:rPr>
                <w:u w:val="single"/>
              </w:rPr>
              <w:t xml:space="preserve"> or </w:t>
            </w:r>
            <w:hyperlink r:id="rId14"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29896A2A" w:rsidR="00A6245F" w:rsidRPr="00C072DD" w:rsidRDefault="006B6C56" w:rsidP="001E5647">
            <w:pPr>
              <w:spacing w:after="0" w:line="288" w:lineRule="auto"/>
              <w:rPr>
                <w:b/>
              </w:rPr>
            </w:pPr>
            <w:r w:rsidRPr="00C072DD">
              <w:rPr>
                <w:b/>
              </w:rPr>
              <w:t>1</w:t>
            </w:r>
            <w:r w:rsidR="00A97D48" w:rsidRPr="00C072DD">
              <w:rPr>
                <w:b/>
              </w:rPr>
              <w:t>4</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1C4DD1FA" w:rsidR="00A6245F" w:rsidRPr="00C072DD" w:rsidRDefault="006B6C56">
            <w:pPr>
              <w:spacing w:after="0" w:line="288" w:lineRule="auto"/>
              <w:rPr>
                <w:b/>
              </w:rPr>
            </w:pPr>
            <w:r w:rsidRPr="00C072DD">
              <w:rPr>
                <w:b/>
              </w:rPr>
              <w:t>1</w:t>
            </w:r>
            <w:r w:rsidR="00A97D48" w:rsidRPr="00C072DD">
              <w:rPr>
                <w:b/>
              </w:rPr>
              <w:t>6</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354045F2"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5"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6"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A97D48" w:rsidRPr="00C072DD">
              <w:rPr>
                <w:b/>
                <w:i/>
                <w:iCs/>
                <w:color w:val="auto"/>
                <w:sz w:val="22"/>
                <w:szCs w:val="22"/>
              </w:rPr>
              <w:t>16</w:t>
            </w:r>
            <w:r w:rsidR="006B6C56" w:rsidRPr="00C072DD">
              <w:rPr>
                <w:b/>
                <w:i/>
                <w:iCs/>
                <w:color w:val="auto"/>
                <w:sz w:val="22"/>
                <w:szCs w:val="22"/>
                <w:vertAlign w:val="superscript"/>
              </w:rPr>
              <w:t>th</w:t>
            </w:r>
            <w:r w:rsidR="006B6C56" w:rsidRPr="00C072DD">
              <w:rPr>
                <w:b/>
                <w:i/>
                <w:iCs/>
                <w:color w:val="auto"/>
                <w:sz w:val="22"/>
                <w:szCs w:val="22"/>
              </w:rPr>
              <w:t xml:space="preserve"> </w:t>
            </w:r>
            <w:r w:rsidR="00A97D48" w:rsidRPr="00C072DD">
              <w:rPr>
                <w:b/>
                <w:i/>
                <w:iCs/>
                <w:color w:val="auto"/>
                <w:sz w:val="22"/>
                <w:szCs w:val="22"/>
              </w:rPr>
              <w:t>February</w:t>
            </w:r>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C072DD">
        <w:rPr>
          <w:rFonts w:eastAsia="Times New Roman"/>
          <w:color w:val="000000"/>
          <w:sz w:val="22"/>
          <w:szCs w:val="22"/>
        </w:rPr>
        <w:t>offerors</w:t>
      </w:r>
      <w:proofErr w:type="gramEnd"/>
      <w:r w:rsidRPr="00C072DD">
        <w:rPr>
          <w:rFonts w:eastAsia="Times New Roman"/>
          <w:color w:val="000000"/>
          <w:sz w:val="22"/>
          <w:szCs w:val="22"/>
        </w:rPr>
        <w:t xml:space="preserve">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lastRenderedPageBreak/>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t xml:space="preserve">Any form of exploitation, abuse, human </w:t>
      </w:r>
      <w:proofErr w:type="gramStart"/>
      <w:r w:rsidRPr="00D93C71">
        <w:rPr>
          <w:rFonts w:eastAsia="Times New Roman"/>
          <w:i/>
          <w:color w:val="000000"/>
          <w:sz w:val="22"/>
          <w:szCs w:val="22"/>
          <w:u w:val="single"/>
        </w:rPr>
        <w:t>trafficking</w:t>
      </w:r>
      <w:proofErr w:type="gramEnd"/>
      <w:r w:rsidRPr="00D93C71">
        <w:rPr>
          <w:rFonts w:eastAsia="Times New Roman"/>
          <w:i/>
          <w:color w:val="000000"/>
          <w:sz w:val="22"/>
          <w:szCs w:val="22"/>
          <w:u w:val="single"/>
        </w:rPr>
        <w:t xml:space="preserve">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9F61F6" w:rsidP="00D93C71">
      <w:pPr>
        <w:widowControl w:val="0"/>
        <w:spacing w:after="0" w:line="240" w:lineRule="auto"/>
        <w:ind w:left="720"/>
        <w:jc w:val="both"/>
        <w:rPr>
          <w:rFonts w:eastAsia="Times New Roman"/>
          <w:b/>
          <w:color w:val="000000"/>
          <w:sz w:val="22"/>
          <w:szCs w:val="22"/>
        </w:rPr>
      </w:pPr>
      <w:hyperlink r:id="rId17">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No respondent should add, </w:t>
      </w:r>
      <w:proofErr w:type="gramStart"/>
      <w:r w:rsidRPr="00C072DD">
        <w:rPr>
          <w:rFonts w:eastAsia="Times New Roman"/>
          <w:color w:val="000000"/>
          <w:sz w:val="22"/>
          <w:szCs w:val="22"/>
        </w:rPr>
        <w:t>omit</w:t>
      </w:r>
      <w:proofErr w:type="gramEnd"/>
      <w:r w:rsidRPr="00C072DD">
        <w:rPr>
          <w:rFonts w:eastAsia="Times New Roman"/>
          <w:color w:val="000000"/>
          <w:sz w:val="22"/>
          <w:szCs w:val="22"/>
        </w:rPr>
        <w:t xml:space="preserve">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w:t>
      </w:r>
      <w:r w:rsidRPr="00C072DD">
        <w:rPr>
          <w:rFonts w:eastAsia="Times New Roman"/>
          <w:color w:val="000000"/>
          <w:sz w:val="22"/>
          <w:szCs w:val="22"/>
        </w:rPr>
        <w:lastRenderedPageBreak/>
        <w:t xml:space="preserve">a condition of this tender that no clarification shall be deemed to supersede, contradict, add </w:t>
      </w:r>
      <w:proofErr w:type="gramStart"/>
      <w:r w:rsidRPr="00C072DD">
        <w:rPr>
          <w:rFonts w:eastAsia="Times New Roman"/>
          <w:color w:val="000000"/>
          <w:sz w:val="22"/>
          <w:szCs w:val="22"/>
        </w:rPr>
        <w:t>to</w:t>
      </w:r>
      <w:proofErr w:type="gramEnd"/>
      <w:r w:rsidRPr="00C072DD">
        <w:rPr>
          <w:rFonts w:eastAsia="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t xml:space="preserve">This Tender does not obligate Mercy Corps to execute a </w:t>
      </w:r>
      <w:proofErr w:type="gramStart"/>
      <w:r w:rsidRPr="00C072DD">
        <w:rPr>
          <w:rFonts w:eastAsia="Times New Roman"/>
          <w:color w:val="000000"/>
          <w:sz w:val="22"/>
          <w:szCs w:val="22"/>
        </w:rPr>
        <w:t>contract</w:t>
      </w:r>
      <w:proofErr w:type="gramEnd"/>
      <w:r w:rsidRPr="00C072DD">
        <w:rPr>
          <w:rFonts w:eastAsia="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C072DD">
        <w:rPr>
          <w:rFonts w:eastAsia="Times New Roman"/>
          <w:color w:val="000000"/>
          <w:sz w:val="22"/>
          <w:szCs w:val="22"/>
        </w:rPr>
        <w:t>any and all</w:t>
      </w:r>
      <w:proofErr w:type="gramEnd"/>
      <w:r w:rsidRPr="00C072DD">
        <w:rPr>
          <w:rFonts w:eastAsia="Times New Roman"/>
          <w:color w:val="000000"/>
          <w:sz w:val="22"/>
          <w:szCs w:val="22"/>
        </w:rPr>
        <w:t xml:space="preserve"> proposals, if such action is considered to be in the best interest of Mercy 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C072DD">
        <w:rPr>
          <w:rFonts w:eastAsia="Times New Roman"/>
          <w:color w:val="000000"/>
          <w:sz w:val="22"/>
          <w:szCs w:val="22"/>
        </w:rPr>
        <w:t>as long as</w:t>
      </w:r>
      <w:proofErr w:type="gramEnd"/>
      <w:r w:rsidRPr="00C072DD">
        <w:rPr>
          <w:rFonts w:eastAsia="Times New Roman"/>
          <w:color w:val="000000"/>
          <w:sz w:val="22"/>
          <w:szCs w:val="22"/>
        </w:rPr>
        <w:t xml:space="preserve">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w:t>
            </w:r>
            <w:proofErr w:type="gramStart"/>
            <w:r w:rsidRPr="00C072DD">
              <w:rPr>
                <w:rFonts w:eastAsia="Times New Roman"/>
                <w:color w:val="000000"/>
                <w:sz w:val="22"/>
                <w:szCs w:val="22"/>
              </w:rPr>
              <w:t>all of</w:t>
            </w:r>
            <w:proofErr w:type="gramEnd"/>
            <w:r w:rsidRPr="00C072DD">
              <w:rPr>
                <w:rFonts w:eastAsia="Times New Roman"/>
                <w:color w:val="000000"/>
                <w:sz w:val="22"/>
                <w:szCs w:val="22"/>
              </w:rPr>
              <w:t xml:space="preserve">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1DD1BFFA" w:rsidR="006B6C56"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w:t>
            </w:r>
            <w:r w:rsidRPr="00AC3C65">
              <w:rPr>
                <w:sz w:val="22"/>
                <w:szCs w:val="22"/>
              </w:rPr>
              <w:t xml:space="preserve"> must be an eligible </w:t>
            </w:r>
            <w:r w:rsidR="006D09C4" w:rsidRPr="00AC3C65">
              <w:rPr>
                <w:sz w:val="22"/>
                <w:szCs w:val="22"/>
              </w:rPr>
              <w:t xml:space="preserve">person </w:t>
            </w:r>
            <w:r w:rsidRPr="00AC3C65">
              <w:rPr>
                <w:sz w:val="22"/>
                <w:szCs w:val="22"/>
              </w:rPr>
              <w:t xml:space="preserve">under the applicable laws and regulations of the </w:t>
            </w:r>
            <w:r w:rsidR="00D4502B" w:rsidRPr="00AC3C65">
              <w:rPr>
                <w:sz w:val="22"/>
                <w:szCs w:val="22"/>
              </w:rPr>
              <w:t>country(s) of operation</w:t>
            </w:r>
            <w:r w:rsidR="00BB4B50">
              <w:rPr>
                <w:sz w:val="22"/>
                <w:szCs w:val="22"/>
              </w:rPr>
              <w:t>.</w:t>
            </w:r>
          </w:p>
          <w:p w14:paraId="76F7131E" w14:textId="338FEAA9" w:rsidR="00A915F8"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 must</w:t>
            </w:r>
            <w:r w:rsidRPr="00AC3C65">
              <w:rPr>
                <w:sz w:val="22"/>
                <w:szCs w:val="22"/>
              </w:rPr>
              <w:t xml:space="preserve"> be in good standing with the taxation or legal authorities of the </w:t>
            </w:r>
            <w:r w:rsidR="00A915F8" w:rsidRPr="00AC3C65">
              <w:rPr>
                <w:sz w:val="22"/>
                <w:szCs w:val="22"/>
              </w:rPr>
              <w:t>country(s) of operation</w:t>
            </w:r>
            <w:r w:rsidR="00BB4B50">
              <w:rPr>
                <w:sz w:val="22"/>
                <w:szCs w:val="22"/>
              </w:rPr>
              <w:t>.</w:t>
            </w:r>
          </w:p>
          <w:p w14:paraId="6764788E" w14:textId="332A2E7C" w:rsidR="006B6C56" w:rsidRPr="00AC3C65" w:rsidRDefault="006B6C56" w:rsidP="006B6C56">
            <w:pPr>
              <w:pStyle w:val="ListParagraph"/>
              <w:widowControl w:val="0"/>
              <w:numPr>
                <w:ilvl w:val="0"/>
                <w:numId w:val="15"/>
              </w:numPr>
              <w:spacing w:after="0" w:line="480" w:lineRule="auto"/>
              <w:rPr>
                <w:sz w:val="22"/>
                <w:szCs w:val="22"/>
              </w:rPr>
            </w:pPr>
            <w:r w:rsidRPr="00AC3C65">
              <w:rPr>
                <w:sz w:val="22"/>
                <w:szCs w:val="22"/>
              </w:rPr>
              <w:t xml:space="preserve">The </w:t>
            </w:r>
            <w:r w:rsidR="006D09C4" w:rsidRPr="00AC3C65">
              <w:rPr>
                <w:sz w:val="22"/>
                <w:szCs w:val="22"/>
              </w:rPr>
              <w:t>Individual consultant</w:t>
            </w:r>
            <w:r w:rsidRPr="00AC3C65">
              <w:rPr>
                <w:sz w:val="22"/>
                <w:szCs w:val="22"/>
              </w:rPr>
              <w:t xml:space="preserve"> must have a satisfactory record of performance and business ethics based on information available to Mercy Corps</w:t>
            </w:r>
            <w:r w:rsidR="00BB4B50">
              <w:rPr>
                <w:sz w:val="22"/>
                <w:szCs w:val="22"/>
              </w:rPr>
              <w:t>.</w:t>
            </w:r>
          </w:p>
          <w:p w14:paraId="1CE29AEE" w14:textId="77777777" w:rsidR="00AD2F8E" w:rsidRPr="00C072DD" w:rsidRDefault="00AD2F8E" w:rsidP="00897A00">
            <w:pPr>
              <w:pStyle w:val="ListParagraph"/>
              <w:widowControl w:val="0"/>
              <w:spacing w:after="0" w:line="480" w:lineRule="auto"/>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w:t>
            </w:r>
            <w:proofErr w:type="gramStart"/>
            <w:r w:rsidRPr="00C072DD">
              <w:rPr>
                <w:rFonts w:eastAsia="Times New Roman"/>
                <w:color w:val="000000"/>
                <w:sz w:val="22"/>
                <w:szCs w:val="22"/>
              </w:rPr>
              <w:t>in order to</w:t>
            </w:r>
            <w:proofErr w:type="gramEnd"/>
            <w:r w:rsidRPr="00C072DD">
              <w:rPr>
                <w:rFonts w:eastAsia="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5F9AAEC8" w14:textId="3B810B90" w:rsidR="006B6C56" w:rsidRPr="00897A00" w:rsidRDefault="00897A00" w:rsidP="00897A00">
            <w:pPr>
              <w:widowControl w:val="0"/>
              <w:numPr>
                <w:ilvl w:val="0"/>
                <w:numId w:val="27"/>
              </w:numPr>
              <w:spacing w:after="0" w:line="288" w:lineRule="auto"/>
              <w:contextualSpacing/>
              <w:rPr>
                <w:rFonts w:eastAsia="Times New Roman"/>
                <w:color w:val="auto"/>
                <w:sz w:val="22"/>
                <w:szCs w:val="22"/>
                <w:lang w:val="en-US"/>
              </w:rPr>
            </w:pPr>
            <w:r>
              <w:rPr>
                <w:rFonts w:eastAsia="Times New Roman"/>
                <w:color w:val="auto"/>
                <w:sz w:val="22"/>
                <w:szCs w:val="22"/>
                <w:lang w:val="en-US"/>
              </w:rPr>
              <w:t>ID/Passport Copy</w:t>
            </w:r>
            <w:r w:rsidR="006B6C56" w:rsidRPr="00897A00">
              <w:rPr>
                <w:rFonts w:eastAsia="Times New Roman"/>
                <w:color w:val="auto"/>
                <w:sz w:val="22"/>
                <w:szCs w:val="22"/>
                <w:lang w:val="en-US"/>
              </w:rPr>
              <w:t xml:space="preserve">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087D685" w:rsidR="00A276D5"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0431E49D" w14:textId="3875D7B9"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CV and cover letter highlighting qualifications and experience </w:t>
            </w:r>
          </w:p>
          <w:p w14:paraId="091C0453"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Evidence of similar services offered (including contact information, contract value, and geographic locations)</w:t>
            </w:r>
          </w:p>
          <w:p w14:paraId="12DE9AD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Proposal </w:t>
            </w:r>
          </w:p>
          <w:p w14:paraId="00E7679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lastRenderedPageBreak/>
              <w:t xml:space="preserve">Portfolio of work </w:t>
            </w:r>
          </w:p>
          <w:p w14:paraId="487E4095"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Financial offer</w:t>
            </w:r>
          </w:p>
          <w:p w14:paraId="263DB0A4" w14:textId="77777777" w:rsidR="00EC6487" w:rsidRPr="00C072DD" w:rsidRDefault="00EC6487" w:rsidP="00D63BE2">
            <w:pPr>
              <w:widowControl w:val="0"/>
              <w:spacing w:after="160" w:line="240" w:lineRule="auto"/>
              <w:rPr>
                <w:rFonts w:eastAsia="Times New Roman"/>
                <w:b/>
                <w:color w:val="000000"/>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474698">
              <w:rPr>
                <w:rFonts w:eastAsia="Times New Roman"/>
                <w:color w:val="FF0000"/>
                <w:sz w:val="22"/>
                <w:szCs w:val="22"/>
              </w:rPr>
              <w:t xml:space="preserve">Offerors </w:t>
            </w:r>
            <w:r w:rsidR="00B4198D" w:rsidRPr="00474698">
              <w:rPr>
                <w:rFonts w:eastAsia="Times New Roman"/>
                <w:color w:val="FF0000"/>
                <w:sz w:val="22"/>
                <w:szCs w:val="22"/>
              </w:rPr>
              <w:t>MUST include VAT in</w:t>
            </w:r>
            <w:r w:rsidRPr="00474698">
              <w:rPr>
                <w:rFonts w:eastAsia="Times New Roman"/>
                <w:color w:val="FF0000"/>
                <w:sz w:val="22"/>
                <w:szCs w:val="22"/>
              </w:rPr>
              <w:t xml:space="preserve"> their offer</w:t>
            </w:r>
            <w:r w:rsidRPr="00474698">
              <w:rPr>
                <w:rFonts w:eastAsia="Times New Roman"/>
                <w:color w:val="000000"/>
                <w:sz w:val="22"/>
                <w:szCs w:val="22"/>
              </w:rPr>
              <w:t xml:space="preserve">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r>
            <w:r w:rsidRPr="00AC3C65">
              <w:rPr>
                <w:rFonts w:eastAsia="Times New Roman"/>
                <w:b/>
                <w:color w:val="000000"/>
                <w:sz w:val="22"/>
                <w:szCs w:val="22"/>
              </w:rPr>
              <w:t>Currency</w:t>
            </w:r>
            <w:r w:rsidRPr="00C072DD">
              <w:rPr>
                <w:rFonts w:eastAsia="Times New Roman"/>
                <w:b/>
                <w:color w:val="000000"/>
                <w:sz w:val="22"/>
                <w:szCs w:val="22"/>
              </w:rPr>
              <w:t xml:space="preserve"> </w:t>
            </w:r>
          </w:p>
          <w:p w14:paraId="7331624E" w14:textId="4BB0C7EB"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Offers should be submitted in:</w:t>
            </w:r>
            <w:r w:rsidR="00474698">
              <w:rPr>
                <w:rFonts w:eastAsia="Times New Roman"/>
                <w:color w:val="000000"/>
                <w:sz w:val="22"/>
                <w:szCs w:val="22"/>
              </w:rPr>
              <w:t xml:space="preserve"> </w:t>
            </w:r>
            <w:r w:rsidR="00AC3C65">
              <w:rPr>
                <w:rFonts w:eastAsia="Times New Roman"/>
                <w:color w:val="000000"/>
                <w:sz w:val="22"/>
                <w:szCs w:val="22"/>
              </w:rPr>
              <w:t>KES</w:t>
            </w:r>
            <w:r w:rsidRPr="00C072DD">
              <w:rPr>
                <w:rFonts w:eastAsia="Times New Roman"/>
                <w:color w:val="000000"/>
                <w:sz w:val="22"/>
                <w:szCs w:val="22"/>
              </w:rPr>
              <w:tab/>
            </w:r>
          </w:p>
          <w:p w14:paraId="4895528E" w14:textId="240B12B8"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Payments will be made in:</w:t>
            </w:r>
            <w:r w:rsidR="00474698">
              <w:rPr>
                <w:rFonts w:eastAsia="Times New Roman"/>
                <w:color w:val="000000"/>
                <w:sz w:val="22"/>
                <w:szCs w:val="22"/>
              </w:rPr>
              <w:t xml:space="preserve"> </w:t>
            </w:r>
            <w:r w:rsidR="00AC3C65">
              <w:rPr>
                <w:rFonts w:eastAsia="Times New Roman"/>
                <w:color w:val="000000"/>
                <w:sz w:val="22"/>
                <w:szCs w:val="22"/>
              </w:rPr>
              <w:t>KES</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 xml:space="preserve">When performing the Scoring Evaluation, the Mercy Corps tender committee will assign points for each </w:t>
            </w:r>
            <w:proofErr w:type="gramStart"/>
            <w:r w:rsidRPr="00C072DD">
              <w:rPr>
                <w:rFonts w:eastAsia="Times New Roman"/>
                <w:color w:val="000000"/>
                <w:sz w:val="22"/>
                <w:szCs w:val="22"/>
              </w:rPr>
              <w:lastRenderedPageBreak/>
              <w:t>criteria</w:t>
            </w:r>
            <w:proofErr w:type="gramEnd"/>
            <w:r w:rsidRPr="00C072DD">
              <w:rPr>
                <w:rFonts w:eastAsia="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694A26"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2278A952" w:rsidR="00694A26" w:rsidRPr="00C072DD" w:rsidRDefault="00694A26" w:rsidP="00694A26">
                  <w:pPr>
                    <w:widowControl w:val="0"/>
                    <w:spacing w:after="160" w:line="240" w:lineRule="auto"/>
                    <w:rPr>
                      <w:rFonts w:eastAsia="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694A26" w:rsidRPr="00C072DD" w:rsidRDefault="00694A26" w:rsidP="00694A26">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694A26" w:rsidRPr="00C072DD" w:rsidRDefault="00694A26" w:rsidP="00694A26">
                  <w:pPr>
                    <w:widowControl w:val="0"/>
                    <w:spacing w:after="160" w:line="288" w:lineRule="auto"/>
                    <w:ind w:left="-30"/>
                    <w:rPr>
                      <w:rFonts w:eastAsia="Times New Roman"/>
                      <w:color w:val="0000FF"/>
                      <w:sz w:val="22"/>
                      <w:szCs w:val="22"/>
                    </w:rPr>
                  </w:pPr>
                </w:p>
              </w:tc>
            </w:tr>
            <w:tr w:rsidR="00694A26" w:rsidRPr="00C072DD" w14:paraId="01ED739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A5D57D0" w14:textId="0A046591" w:rsidR="00694A26" w:rsidRPr="00C072DD" w:rsidRDefault="00694A26" w:rsidP="00694A26">
                  <w:pPr>
                    <w:widowControl w:val="0"/>
                    <w:spacing w:after="160" w:line="240" w:lineRule="auto"/>
                    <w:rPr>
                      <w:rFonts w:eastAsia="Times New Roman"/>
                      <w:color w:val="000000"/>
                      <w:sz w:val="22"/>
                      <w:szCs w:val="22"/>
                    </w:rPr>
                  </w:pPr>
                  <w:proofErr w:type="spellStart"/>
                  <w:r>
                    <w:rPr>
                      <w:color w:val="000000"/>
                      <w:sz w:val="20"/>
                      <w:szCs w:val="20"/>
                    </w:rPr>
                    <w:t>Atleast</w:t>
                  </w:r>
                  <w:proofErr w:type="spellEnd"/>
                  <w:r>
                    <w:rPr>
                      <w:color w:val="000000"/>
                      <w:sz w:val="20"/>
                      <w:szCs w:val="20"/>
                    </w:rPr>
                    <w:t xml:space="preserve"> 10 years’ experience in system architect roles in medium to large customer environments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65B916AF" w:rsidR="00694A26" w:rsidRPr="00C072DD" w:rsidRDefault="00694A26" w:rsidP="00694A26">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08A81B75"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Experience managing small development teams across different programming disciplines including cloud, mobile, IoT, and AI</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34320FDA" w:rsidR="00694A26" w:rsidRPr="00C072DD" w:rsidRDefault="00694A26" w:rsidP="00694A26">
                  <w:pPr>
                    <w:widowControl w:val="0"/>
                    <w:spacing w:after="160" w:line="288" w:lineRule="auto"/>
                    <w:ind w:left="-30"/>
                    <w:jc w:val="center"/>
                    <w:rPr>
                      <w:rFonts w:eastAsia="Times New Roman"/>
                      <w:b/>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707471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C6583EA" w14:textId="7F96E872"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Experience establishing technology operations and developing technology standards across multiple project teams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5B605DD7" w:rsidR="00694A26" w:rsidRPr="00C072DD" w:rsidRDefault="00694A26" w:rsidP="00694A26">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1AFCE7D6" w:rsidR="00694A26" w:rsidRPr="00C072DD" w:rsidRDefault="00694A26" w:rsidP="00694A26">
                  <w:pPr>
                    <w:widowControl w:val="0"/>
                    <w:spacing w:after="160" w:line="240" w:lineRule="auto"/>
                    <w:rPr>
                      <w:rFonts w:eastAsia="Times New Roman"/>
                      <w:color w:val="000000"/>
                      <w:sz w:val="20"/>
                      <w:szCs w:val="22"/>
                    </w:rPr>
                  </w:pPr>
                  <w:r>
                    <w:rPr>
                      <w:color w:val="000000"/>
                      <w:sz w:val="20"/>
                      <w:szCs w:val="20"/>
                    </w:rPr>
                    <w:t>Ability and experience steering multiple software products and teams simultaneously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356B157" w14:textId="77777777" w:rsidR="00694A26" w:rsidRDefault="00694A26" w:rsidP="00694A26">
                  <w:pPr>
                    <w:widowControl w:val="0"/>
                    <w:spacing w:after="160" w:line="288" w:lineRule="auto"/>
                    <w:ind w:left="-30"/>
                    <w:jc w:val="center"/>
                    <w:rPr>
                      <w:color w:val="000000"/>
                      <w:sz w:val="22"/>
                      <w:szCs w:val="22"/>
                    </w:rPr>
                  </w:pPr>
                </w:p>
                <w:p w14:paraId="08EBE5C3" w14:textId="5FDE4413"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937C29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28342F" w14:textId="6CE67546" w:rsidR="00694A26" w:rsidRPr="00C072DD" w:rsidRDefault="00694A26" w:rsidP="00694A26">
                  <w:pPr>
                    <w:widowControl w:val="0"/>
                    <w:spacing w:after="160" w:line="240" w:lineRule="auto"/>
                    <w:rPr>
                      <w:rFonts w:eastAsia="Times New Roman"/>
                      <w:color w:val="000000" w:themeColor="text1"/>
                      <w:sz w:val="20"/>
                      <w:szCs w:val="22"/>
                    </w:rPr>
                  </w:pPr>
                  <w:r>
                    <w:rPr>
                      <w:color w:val="000000"/>
                      <w:sz w:val="20"/>
                      <w:szCs w:val="20"/>
                    </w:rPr>
                    <w:t>Experience in, and knowledge of, complex architectural customer, business, applications and, where appropriate, Infrastructure environments.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602DFF9B"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4E7D51E1"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5FB3BCD7" w:rsidR="00694A26" w:rsidRPr="00C072DD" w:rsidRDefault="00694A26" w:rsidP="00694A26">
                  <w:pPr>
                    <w:widowControl w:val="0"/>
                    <w:spacing w:after="160" w:line="240" w:lineRule="auto"/>
                    <w:rPr>
                      <w:color w:val="auto"/>
                      <w:sz w:val="20"/>
                      <w:szCs w:val="20"/>
                    </w:rPr>
                  </w:pPr>
                  <w:r>
                    <w:rPr>
                      <w:color w:val="000000"/>
                      <w:sz w:val="20"/>
                      <w:szCs w:val="20"/>
                    </w:rPr>
                    <w:t>Required deep knowledge of architect processes tools and offering and ability to translate customer requirement into Sprout Platform and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0D6074A7"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165F690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4867D766" w:rsidR="00694A26" w:rsidRPr="00C072DD" w:rsidRDefault="00694A26" w:rsidP="00694A26">
                  <w:pPr>
                    <w:widowControl w:val="0"/>
                    <w:spacing w:after="160" w:line="240" w:lineRule="auto"/>
                    <w:rPr>
                      <w:color w:val="auto"/>
                      <w:sz w:val="20"/>
                      <w:szCs w:val="20"/>
                    </w:rPr>
                  </w:pPr>
                  <w:r>
                    <w:rPr>
                      <w:color w:val="000000"/>
                    </w:rPr>
                    <w:t>Experience in Architect roles in medium to large customer environments in relevant Industry sectors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52BF4EC0"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00965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103D0EC5" w:rsidR="00694A26" w:rsidRPr="00C072DD" w:rsidRDefault="00694A26" w:rsidP="00694A26">
                  <w:pPr>
                    <w:widowControl w:val="0"/>
                    <w:spacing w:after="160" w:line="240" w:lineRule="auto"/>
                    <w:rPr>
                      <w:color w:val="auto"/>
                      <w:sz w:val="20"/>
                      <w:szCs w:val="20"/>
                    </w:rPr>
                  </w:pPr>
                  <w:r>
                    <w:rPr>
                      <w:color w:val="000000"/>
                      <w:sz w:val="20"/>
                      <w:szCs w:val="20"/>
                    </w:rPr>
                    <w:t>Proven experience in tech design for Developing markets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116C4814"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501F7F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48A0E0" w14:textId="0215D6B3" w:rsidR="00694A26" w:rsidRPr="00C072DD" w:rsidRDefault="00694A26" w:rsidP="00694A26">
                  <w:pPr>
                    <w:widowControl w:val="0"/>
                    <w:spacing w:after="160" w:line="240" w:lineRule="auto"/>
                    <w:rPr>
                      <w:color w:val="auto"/>
                      <w:sz w:val="20"/>
                      <w:szCs w:val="20"/>
                    </w:rPr>
                  </w:pPr>
                  <w:r>
                    <w:rPr>
                      <w:color w:val="000000"/>
                      <w:sz w:val="20"/>
                      <w:szCs w:val="20"/>
                    </w:rPr>
                    <w:t>Experience developing Platforms/APIs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1ADA43AE"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19F4765"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D233E4" w14:textId="42633BF6" w:rsidR="00694A26" w:rsidRPr="00C072DD" w:rsidRDefault="00694A26" w:rsidP="00694A26">
                  <w:pPr>
                    <w:widowControl w:val="0"/>
                    <w:spacing w:after="160" w:line="240" w:lineRule="auto"/>
                    <w:rPr>
                      <w:color w:val="auto"/>
                      <w:sz w:val="20"/>
                      <w:szCs w:val="20"/>
                    </w:rPr>
                  </w:pPr>
                  <w:r>
                    <w:rPr>
                      <w:color w:val="000000"/>
                      <w:sz w:val="20"/>
                      <w:szCs w:val="20"/>
                    </w:rPr>
                    <w:t xml:space="preserve">Prior experience with Comprehensive Knowledge Archive Network (CKAN) highly preferred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74001D5D"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6DC7A57C" w:rsidR="00694A26" w:rsidRPr="00C072DD" w:rsidRDefault="00BB4B50"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0F149C5F"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7CF37BE9"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A92EC" w14:textId="43736030" w:rsidR="00694A26" w:rsidRPr="00C072DD" w:rsidRDefault="00694A26" w:rsidP="00694A26">
                  <w:pPr>
                    <w:widowControl w:val="0"/>
                    <w:spacing w:after="160" w:line="240" w:lineRule="auto"/>
                    <w:rPr>
                      <w:color w:val="auto"/>
                      <w:sz w:val="20"/>
                      <w:szCs w:val="20"/>
                    </w:rPr>
                  </w:pPr>
                  <w:r>
                    <w:rPr>
                      <w:b/>
                      <w:color w:val="000000"/>
                      <w:sz w:val="22"/>
                      <w:szCs w:val="22"/>
                    </w:rPr>
                    <w:lastRenderedPageBreak/>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1B45FBF6" w:rsidR="00694A26" w:rsidRPr="00C072DD" w:rsidRDefault="00694A26" w:rsidP="00694A26">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64A52DBE"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8935472" w:rsidR="00694A26" w:rsidRPr="00C072DD" w:rsidRDefault="00694A26" w:rsidP="00694A26">
                  <w:pPr>
                    <w:widowControl w:val="0"/>
                    <w:spacing w:after="160" w:line="288" w:lineRule="auto"/>
                    <w:ind w:left="-30"/>
                    <w:jc w:val="center"/>
                    <w:rPr>
                      <w:rFonts w:eastAsia="Times New Roman"/>
                      <w:color w:val="0000FF"/>
                      <w:sz w:val="22"/>
                      <w:szCs w:val="22"/>
                    </w:rPr>
                  </w:pPr>
                </w:p>
              </w:tc>
            </w:tr>
            <w:tr w:rsidR="00694A26"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3C3DDE64" w:rsidR="00694A26" w:rsidRPr="00C072DD" w:rsidRDefault="00694A26" w:rsidP="00694A26">
                  <w:pPr>
                    <w:widowControl w:val="0"/>
                    <w:spacing w:after="160" w:line="240" w:lineRule="auto"/>
                    <w:rPr>
                      <w:rFonts w:eastAsia="Times New Roman"/>
                      <w:color w:val="auto"/>
                      <w:sz w:val="20"/>
                      <w:szCs w:val="22"/>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2C896AB6"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694A26" w:rsidRPr="00C072DD" w:rsidRDefault="00694A26" w:rsidP="00694A26">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694A26" w:rsidRPr="00C072DD" w:rsidRDefault="00694A26"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3930419F"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C207A34" w14:textId="2ECF8D6D" w:rsidR="00694A26" w:rsidRPr="00C072DD" w:rsidRDefault="00694A26" w:rsidP="00694A26">
                  <w:pPr>
                    <w:widowControl w:val="0"/>
                    <w:spacing w:after="160" w:line="240" w:lineRule="auto"/>
                    <w:rPr>
                      <w:rFonts w:eastAsia="Times New Roman"/>
                      <w:color w:val="auto"/>
                      <w:sz w:val="20"/>
                      <w:szCs w:val="22"/>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B71691C"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68E07E37" w:rsidR="00694A26" w:rsidRPr="00C072DD" w:rsidRDefault="00694A26"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FB53769"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21EE1C3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C3A371C" w14:textId="78DA4131" w:rsidR="00694A26" w:rsidRPr="00C072DD" w:rsidRDefault="00694A26" w:rsidP="00694A26">
                  <w:pPr>
                    <w:widowControl w:val="0"/>
                    <w:spacing w:after="160" w:line="240" w:lineRule="auto"/>
                    <w:rPr>
                      <w:rFonts w:eastAsia="Times New Roman"/>
                      <w:color w:val="auto"/>
                      <w:sz w:val="20"/>
                      <w:szCs w:val="22"/>
                    </w:rPr>
                  </w:pPr>
                  <w:r>
                    <w:rPr>
                      <w:sz w:val="20"/>
                      <w:szCs w:val="20"/>
                    </w:rPr>
                    <w:t>The proposed fee is reasonable based on the experience, unique value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0610F07" w14:textId="6803F5E6" w:rsidR="00694A26" w:rsidRPr="00C072DD" w:rsidRDefault="00694A26" w:rsidP="00694A26">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68A61EC" w14:textId="2E9EE3E3" w:rsidR="00694A26" w:rsidRPr="00C072DD" w:rsidRDefault="00694A26" w:rsidP="00694A26">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B879C" w14:textId="761BA68F" w:rsidR="00694A26" w:rsidRPr="00C072DD" w:rsidRDefault="00BB4B50" w:rsidP="00694A26">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694A26" w:rsidRPr="00C072DD" w14:paraId="238F0DF8"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FF161C7" w14:textId="77777777" w:rsidR="00694A26" w:rsidRPr="00C072DD" w:rsidRDefault="00694A26" w:rsidP="00694A26">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A40F6B2" w14:textId="77777777" w:rsidR="00694A26" w:rsidRPr="00C072DD" w:rsidRDefault="00694A26" w:rsidP="00694A26">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44D79D" w14:textId="77777777" w:rsidR="00694A26" w:rsidRPr="00C072DD" w:rsidRDefault="00694A26" w:rsidP="00694A26">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1090C7" w14:textId="77777777" w:rsidR="00694A26" w:rsidRPr="00C072DD" w:rsidRDefault="00694A26" w:rsidP="00694A26">
                  <w:pPr>
                    <w:widowControl w:val="0"/>
                    <w:spacing w:after="160" w:line="288" w:lineRule="auto"/>
                    <w:ind w:left="-30"/>
                    <w:jc w:val="center"/>
                    <w:rPr>
                      <w:rFonts w:eastAsia="Times New Roman"/>
                      <w:color w:val="0000FF"/>
                      <w:sz w:val="22"/>
                      <w:szCs w:val="22"/>
                    </w:rPr>
                  </w:pPr>
                </w:p>
              </w:tc>
            </w:tr>
            <w:tr w:rsidR="00694A26"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694A26" w:rsidRPr="00C072DD" w:rsidRDefault="00694A26" w:rsidP="00694A26">
                  <w:pPr>
                    <w:widowControl w:val="0"/>
                    <w:spacing w:after="160" w:line="288"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694A26" w:rsidRPr="00C072DD" w:rsidRDefault="00694A26" w:rsidP="00694A26">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694A26" w:rsidRPr="00C072DD" w:rsidRDefault="00694A26" w:rsidP="00694A26">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694A26" w:rsidRPr="00C072DD" w:rsidRDefault="00694A26" w:rsidP="00694A26">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163444FA" w14:textId="77777777" w:rsidR="00A276D5" w:rsidRPr="00C072DD" w:rsidRDefault="00A276D5" w:rsidP="001417B7">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23EA5336" w14:textId="77777777" w:rsidR="00A276D5" w:rsidRPr="001771CF" w:rsidRDefault="00965245">
      <w:pPr>
        <w:numPr>
          <w:ilvl w:val="0"/>
          <w:numId w:val="14"/>
        </w:numPr>
        <w:spacing w:after="0" w:line="288" w:lineRule="auto"/>
        <w:ind w:left="1440"/>
        <w:contextualSpacing/>
        <w:rPr>
          <w:sz w:val="22"/>
        </w:rPr>
      </w:pPr>
      <w:r w:rsidRPr="001771CF">
        <w:rPr>
          <w:sz w:val="22"/>
        </w:rPr>
        <w:lastRenderedPageBreak/>
        <w:t>A detailed specification of the offered goods, services and/or works (Proposal)</w:t>
      </w:r>
    </w:p>
    <w:p w14:paraId="6F86FB88" w14:textId="77777777" w:rsidR="00A276D5" w:rsidRPr="001771CF" w:rsidRDefault="00965245">
      <w:pPr>
        <w:numPr>
          <w:ilvl w:val="0"/>
          <w:numId w:val="14"/>
        </w:numPr>
        <w:spacing w:after="0" w:line="288" w:lineRule="auto"/>
        <w:ind w:left="1440"/>
        <w:contextualSpacing/>
        <w:rPr>
          <w:sz w:val="22"/>
        </w:rPr>
      </w:pPr>
      <w:r w:rsidRPr="001771CF">
        <w:rPr>
          <w:sz w:val="22"/>
        </w:rPr>
        <w:t>Warranty (if necessary and appropriate)</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BB4B50" w:rsidRDefault="00965245">
      <w:pPr>
        <w:numPr>
          <w:ilvl w:val="0"/>
          <w:numId w:val="14"/>
        </w:numPr>
        <w:spacing w:before="200" w:after="0" w:line="576" w:lineRule="auto"/>
        <w:rPr>
          <w:sz w:val="22"/>
        </w:rPr>
      </w:pPr>
      <w:r w:rsidRPr="00BB4B50">
        <w:rPr>
          <w:sz w:val="22"/>
        </w:rPr>
        <w:t xml:space="preserve">A Price Offer detailing the unit price only, using the </w:t>
      </w:r>
      <w:r w:rsidRPr="00BB4B50">
        <w:rPr>
          <w:b/>
          <w:sz w:val="22"/>
        </w:rPr>
        <w:t>Price Offer Sheet</w:t>
      </w:r>
      <w:r w:rsidRPr="00BB4B50">
        <w:rPr>
          <w:sz w:val="22"/>
        </w:rPr>
        <w:t xml:space="preserve"> template provided in section 7</w:t>
      </w:r>
    </w:p>
    <w:p w14:paraId="4B119CC9" w14:textId="77777777" w:rsidR="00A276D5" w:rsidRPr="00BB4B50" w:rsidRDefault="00965245">
      <w:pPr>
        <w:numPr>
          <w:ilvl w:val="0"/>
          <w:numId w:val="14"/>
        </w:numPr>
        <w:spacing w:after="0" w:line="576" w:lineRule="auto"/>
        <w:contextualSpacing/>
        <w:rPr>
          <w:sz w:val="22"/>
        </w:rPr>
      </w:pPr>
      <w:r w:rsidRPr="00BB4B50">
        <w:rPr>
          <w:sz w:val="22"/>
        </w:rPr>
        <w:t xml:space="preserve">Completed and signed Mercy Corps </w:t>
      </w:r>
      <w:r w:rsidRPr="00BB4B50">
        <w:rPr>
          <w:b/>
          <w:sz w:val="22"/>
        </w:rPr>
        <w:t>Supplier Information Form</w:t>
      </w:r>
      <w:r w:rsidRPr="00BB4B50">
        <w:rPr>
          <w:sz w:val="22"/>
        </w:rPr>
        <w:t xml:space="preserve"> (template provided in section 7)</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4121FA6A" w:rsidR="00A276D5" w:rsidRDefault="00965245">
      <w:pPr>
        <w:rPr>
          <w:b/>
          <w:color w:val="000000"/>
        </w:rPr>
      </w:pPr>
      <w:r w:rsidRPr="00C072DD">
        <w:rPr>
          <w:b/>
          <w:color w:val="000000"/>
        </w:rPr>
        <w:t>5.1 Background</w:t>
      </w:r>
    </w:p>
    <w:p w14:paraId="302B2EF1" w14:textId="1333D61C"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AgriFin </w:t>
      </w:r>
      <w:r>
        <w:rPr>
          <w:rFonts w:ascii="Calibri" w:eastAsia="Calibri" w:hAnsi="Calibri" w:cs="Calibri"/>
          <w:color w:val="auto"/>
          <w:sz w:val="22"/>
          <w:szCs w:val="22"/>
          <w:lang w:val="en-US"/>
        </w:rPr>
        <w:t>Program</w:t>
      </w:r>
      <w:r w:rsidRPr="00087109">
        <w:rPr>
          <w:rFonts w:ascii="Calibri" w:eastAsia="Calibri" w:hAnsi="Calibri" w:cs="Calibri"/>
          <w:color w:val="auto"/>
          <w:sz w:val="22"/>
          <w:szCs w:val="22"/>
          <w:lang w:val="en-US"/>
        </w:rPr>
        <w:t xml:space="preserve"> currently represents </w:t>
      </w:r>
      <w:r w:rsidRPr="00087109">
        <w:rPr>
          <w:rFonts w:ascii="Calibri" w:eastAsia="Calibri" w:hAnsi="Calibri" w:cs="Calibri"/>
          <w:b/>
          <w:color w:val="auto"/>
          <w:sz w:val="22"/>
          <w:szCs w:val="22"/>
          <w:lang w:val="en-US"/>
        </w:rPr>
        <w:t>a $12 million, four-year AgriFin program working</w:t>
      </w:r>
      <w:r w:rsidRPr="00087109">
        <w:rPr>
          <w:rFonts w:ascii="Calibri" w:eastAsia="Calibri" w:hAnsi="Calibri" w:cs="Calibri"/>
          <w:color w:val="auto"/>
          <w:sz w:val="22"/>
          <w:szCs w:val="22"/>
          <w:lang w:val="en-US"/>
        </w:rPr>
        <w:t xml:space="preserve"> in </w:t>
      </w:r>
      <w:r w:rsidRPr="00087109">
        <w:rPr>
          <w:rFonts w:ascii="Calibri" w:eastAsia="Calibri" w:hAnsi="Calibri" w:cs="Calibri"/>
          <w:b/>
          <w:color w:val="auto"/>
          <w:sz w:val="22"/>
          <w:szCs w:val="22"/>
          <w:lang w:val="en-US"/>
        </w:rPr>
        <w:t>Kenya, Tanzania, Ethiopia and Nigeria</w:t>
      </w:r>
      <w:r w:rsidRPr="00087109">
        <w:rPr>
          <w:rFonts w:ascii="Calibri" w:eastAsia="Calibri" w:hAnsi="Calibri" w:cs="Calibri"/>
          <w:color w:val="auto"/>
          <w:sz w:val="22"/>
          <w:szCs w:val="22"/>
          <w:lang w:val="en-US"/>
        </w:rPr>
        <w:t xml:space="preserve">, with potential to expand to other markets (Uganda, Zambia+). In partnership with Bill and Melinda Gates and Bayer Foundations, </w:t>
      </w:r>
      <w:r>
        <w:rPr>
          <w:rFonts w:ascii="Calibri" w:eastAsia="Calibri" w:hAnsi="Calibri" w:cs="Calibri"/>
          <w:color w:val="auto"/>
          <w:sz w:val="22"/>
          <w:szCs w:val="22"/>
          <w:lang w:val="en-US"/>
        </w:rPr>
        <w:t>AgriFin program</w:t>
      </w:r>
      <w:r w:rsidRPr="00087109">
        <w:rPr>
          <w:rFonts w:ascii="Calibri" w:eastAsia="Calibri" w:hAnsi="Calibri" w:cs="Calibri"/>
          <w:color w:val="auto"/>
          <w:sz w:val="22"/>
          <w:szCs w:val="22"/>
          <w:lang w:val="en-US"/>
        </w:rPr>
        <w:t xml:space="preserve"> seeks to support the expansion of digitally-enabled services to 5 million smallholder farmers, delivered by growing ecosystems of diverse service providers and building farmer income, productivity and resilience across by 50% while reaching 40% women. </w:t>
      </w:r>
    </w:p>
    <w:p w14:paraId="03B494E4"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The program’s core innovations are: 1) a </w:t>
      </w:r>
      <w:r w:rsidRPr="00087109">
        <w:rPr>
          <w:rFonts w:ascii="Calibri" w:eastAsia="Calibri" w:hAnsi="Calibri" w:cs="Calibri"/>
          <w:b/>
          <w:color w:val="auto"/>
          <w:sz w:val="22"/>
          <w:szCs w:val="22"/>
          <w:lang w:val="en-US"/>
        </w:rPr>
        <w:t xml:space="preserve">rapid iteration engagement model </w:t>
      </w:r>
      <w:r w:rsidRPr="00087109">
        <w:rPr>
          <w:rFonts w:ascii="Calibri" w:eastAsia="Calibri" w:hAnsi="Calibri" w:cs="Calibri"/>
          <w:color w:val="auto"/>
          <w:sz w:val="22"/>
          <w:szCs w:val="22"/>
          <w:lang w:val="en-US"/>
        </w:rPr>
        <w:t xml:space="preserve">to drive innovative, client-centric product development; and 2) our work with </w:t>
      </w:r>
      <w:r w:rsidRPr="00087109">
        <w:rPr>
          <w:rFonts w:ascii="Calibri" w:eastAsia="Calibri" w:hAnsi="Calibri" w:cs="Calibri"/>
          <w:b/>
          <w:color w:val="auto"/>
          <w:sz w:val="22"/>
          <w:szCs w:val="22"/>
          <w:lang w:val="en-US"/>
        </w:rPr>
        <w:t>partners to develop “bundles</w:t>
      </w:r>
      <w:r w:rsidRPr="00087109">
        <w:rPr>
          <w:rFonts w:ascii="Calibri" w:eastAsia="Calibri" w:hAnsi="Calibri" w:cs="Calibri"/>
          <w:color w:val="auto"/>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087109">
        <w:rPr>
          <w:rFonts w:ascii="Calibri" w:eastAsia="Calibri" w:hAnsi="Calibri" w:cs="Calibri"/>
          <w:b/>
          <w:color w:val="auto"/>
          <w:sz w:val="22"/>
          <w:szCs w:val="22"/>
          <w:lang w:val="en-US"/>
        </w:rPr>
        <w:t>. The innovation areas are:</w:t>
      </w:r>
    </w:p>
    <w:p w14:paraId="41C0B14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Climate-Smart approaches to SHF Climate Adaptation &amp; Mitigation</w:t>
      </w:r>
    </w:p>
    <w:p w14:paraId="185E4225"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Agricultural Advisory and Smart Farming Solutions</w:t>
      </w:r>
    </w:p>
    <w:p w14:paraId="731C4C3F"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Gender Transformative Programming</w:t>
      </w:r>
    </w:p>
    <w:p w14:paraId="1FA5FFAE"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Appropriate Digitally Enabled Financial Services for SHF</w:t>
      </w:r>
    </w:p>
    <w:p w14:paraId="3E4E742D"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Platform Models Providing Market Access, Financing, Information and Resources</w:t>
      </w:r>
    </w:p>
    <w:p w14:paraId="62CBC480"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Channels, Logistics and Mechanization</w:t>
      </w:r>
    </w:p>
    <w:p w14:paraId="041865E2" w14:textId="759BC19A" w:rsidR="00280D70"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Use of Digital Data for Decisioning, Product Development &amp; Risk Management.</w:t>
      </w:r>
    </w:p>
    <w:p w14:paraId="735F2BF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p>
    <w:p w14:paraId="7A110F1D" w14:textId="0F797EDB" w:rsidR="00A276D5" w:rsidRDefault="00965245">
      <w:pPr>
        <w:rPr>
          <w:b/>
          <w:color w:val="000000"/>
        </w:rPr>
      </w:pPr>
      <w:r w:rsidRPr="00C072DD">
        <w:rPr>
          <w:b/>
          <w:color w:val="000000"/>
        </w:rPr>
        <w:t xml:space="preserve">5.2 Scope of Work </w:t>
      </w:r>
    </w:p>
    <w:p w14:paraId="34B3BD94"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 xml:space="preserve">Sprout is a </w:t>
      </w:r>
      <w:r w:rsidRPr="00423585">
        <w:rPr>
          <w:rFonts w:ascii="Calibri" w:eastAsia="Calibri" w:hAnsi="Calibri" w:cs="Calibri"/>
          <w:b/>
          <w:color w:val="000000"/>
          <w:sz w:val="22"/>
          <w:szCs w:val="22"/>
          <w:lang w:val="en-US"/>
        </w:rPr>
        <w:t>B</w:t>
      </w:r>
      <w:r w:rsidRPr="00423585">
        <w:rPr>
          <w:rFonts w:ascii="Calibri" w:eastAsia="Calibri" w:hAnsi="Calibri" w:cs="Calibri"/>
          <w:color w:val="000000"/>
          <w:sz w:val="22"/>
          <w:szCs w:val="22"/>
          <w:lang w:val="en-US"/>
        </w:rPr>
        <w:t xml:space="preserve"> (content/service creator) </w:t>
      </w:r>
      <w:r w:rsidRPr="00423585">
        <w:rPr>
          <w:rFonts w:ascii="Calibri" w:eastAsia="Calibri" w:hAnsi="Calibri" w:cs="Calibri"/>
          <w:b/>
          <w:color w:val="000000"/>
          <w:sz w:val="22"/>
          <w:szCs w:val="22"/>
          <w:lang w:val="en-US"/>
        </w:rPr>
        <w:t xml:space="preserve">to B </w:t>
      </w:r>
      <w:r w:rsidRPr="00423585">
        <w:rPr>
          <w:rFonts w:ascii="Calibri" w:eastAsia="Calibri" w:hAnsi="Calibri" w:cs="Calibri"/>
          <w:color w:val="000000"/>
          <w:sz w:val="22"/>
          <w:szCs w:val="22"/>
          <w:lang w:val="en-US"/>
        </w:rPr>
        <w:t xml:space="preserve">(content user/farmer facing organizations) </w:t>
      </w:r>
      <w:r w:rsidRPr="00423585">
        <w:rPr>
          <w:rFonts w:ascii="Calibri" w:eastAsia="Calibri" w:hAnsi="Calibri" w:cs="Calibri"/>
          <w:b/>
          <w:color w:val="000000"/>
          <w:sz w:val="22"/>
          <w:szCs w:val="22"/>
          <w:lang w:val="en-US"/>
        </w:rPr>
        <w:t>platform</w:t>
      </w:r>
      <w:r w:rsidRPr="00423585">
        <w:rPr>
          <w:rFonts w:ascii="Calibri" w:eastAsia="Calibri" w:hAnsi="Calibri" w:cs="Calibri"/>
          <w:color w:val="000000"/>
          <w:sz w:val="22"/>
          <w:szCs w:val="22"/>
          <w:lang w:val="en-US"/>
        </w:rPr>
        <w:t>. The Sprout Platform is not primarily intended to serve farmers directly. Currently, Sprout offers a wide range of high quality, digital ready, farmer friendly agriculture and cross cutting content in flat files that can be searched, downloaded and used as is or contextualized by the organization for their farmers.  Sprout also offers Sprout Learning, a WhatsApp for Business service that has content available in English that can be copied by the content using organizations to their own WhatsApp platforms.</w:t>
      </w:r>
    </w:p>
    <w:p w14:paraId="6E7CAD01"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40060230"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Sprout is currently built on DKAN, but the project team is in the process of moving to CKAN shortly. Sprout Learning WhatsApp for business service is built on Turn.io.</w:t>
      </w:r>
    </w:p>
    <w:p w14:paraId="418ECAF9"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240" w:line="240" w:lineRule="auto"/>
        <w:rPr>
          <w:rFonts w:ascii="Calibri" w:eastAsia="Calibri" w:hAnsi="Calibri" w:cs="Calibri"/>
          <w:color w:val="auto"/>
          <w:sz w:val="22"/>
          <w:szCs w:val="22"/>
          <w:lang w:val="en-US"/>
        </w:rPr>
      </w:pPr>
    </w:p>
    <w:p w14:paraId="1E0D7CA3"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The Chief Technical Architect (CTA) will take the lead in designing the new features and the next phase of development of Sprout Platform with the Mercy Corps AgriFin team and the Kenyan Agriculture and Livestock Organization (KALRO). The CTA will also work with the following sets and types of organizations:</w:t>
      </w:r>
    </w:p>
    <w:p w14:paraId="06734C50" w14:textId="77777777" w:rsidR="00423585" w:rsidRPr="00423585" w:rsidRDefault="00423585" w:rsidP="00423585">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lastRenderedPageBreak/>
        <w:t>Content creators (KALRO, AGRA, Ethiopian ATA, Ministries of Agriculture, Research Institutes, CIP, and many others.)</w:t>
      </w:r>
    </w:p>
    <w:p w14:paraId="10435D66" w14:textId="77777777" w:rsidR="00423585" w:rsidRPr="00423585" w:rsidRDefault="00423585" w:rsidP="00423585">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 xml:space="preserve">Content/Service Providers (CIAT, CGIAR, CYMMT, Ignitia, </w:t>
      </w:r>
      <w:proofErr w:type="spellStart"/>
      <w:r w:rsidRPr="00423585">
        <w:rPr>
          <w:rFonts w:ascii="Calibri" w:eastAsia="Calibri" w:hAnsi="Calibri" w:cs="Calibri"/>
          <w:color w:val="000000"/>
          <w:sz w:val="22"/>
          <w:szCs w:val="22"/>
          <w:lang w:val="en-US"/>
        </w:rPr>
        <w:t>aWhere</w:t>
      </w:r>
      <w:proofErr w:type="spellEnd"/>
      <w:r w:rsidRPr="00423585">
        <w:rPr>
          <w:rFonts w:ascii="Calibri" w:eastAsia="Calibri" w:hAnsi="Calibri" w:cs="Calibri"/>
          <w:color w:val="000000"/>
          <w:sz w:val="22"/>
          <w:szCs w:val="22"/>
          <w:lang w:val="en-US"/>
        </w:rPr>
        <w:t>, PlantVillage, Tomorrow.io, and many others) </w:t>
      </w:r>
    </w:p>
    <w:p w14:paraId="0362DEB6" w14:textId="77777777" w:rsidR="00423585" w:rsidRPr="00423585" w:rsidRDefault="00423585" w:rsidP="00423585">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content user partners (One Acre, Pula, KALRO, Digifarm, Mshamba, FSPN, CoAmana, and many others)</w:t>
      </w:r>
    </w:p>
    <w:p w14:paraId="030698A1" w14:textId="77777777" w:rsidR="00423585" w:rsidRPr="00423585" w:rsidRDefault="00423585" w:rsidP="00423585">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digitally enabled farmers</w:t>
      </w:r>
    </w:p>
    <w:p w14:paraId="2F1A07EB"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14AE9B64"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The CTA will be expected to lead and work with the project team on how best to identify and how to best enable Sprout Platform to offer intelligent advisory and marketplace services through the platform. These services will be built upon the existing platform, capabilities and offer:</w:t>
      </w:r>
    </w:p>
    <w:p w14:paraId="098C0DB8"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5CF6FCC5" w14:textId="77777777" w:rsidR="00423585" w:rsidRPr="00423585" w:rsidRDefault="00423585" w:rsidP="00423585">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platform content /services organizations the ability to connect to the Sprout platform and directly reach farmer facing organizations and their millions of users in a uniform way</w:t>
      </w:r>
    </w:p>
    <w:p w14:paraId="0A4C02DD" w14:textId="77777777" w:rsidR="00423585" w:rsidRPr="00423585" w:rsidRDefault="00423585" w:rsidP="00423585">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 xml:space="preserve">content/service users (farmer facing organizations) who connect into the platform to have the ability for their respective farmer to have access advisory information and services based on the data that farmer facing organizations have about their farmers (i.e. GPS coordinates, plot size, primary and secondary commodities, </w:t>
      </w:r>
      <w:proofErr w:type="gramStart"/>
      <w:r w:rsidRPr="00423585">
        <w:rPr>
          <w:rFonts w:ascii="Calibri" w:eastAsia="Calibri" w:hAnsi="Calibri" w:cs="Calibri"/>
          <w:color w:val="000000"/>
          <w:sz w:val="22"/>
          <w:szCs w:val="22"/>
          <w:lang w:val="en-US"/>
        </w:rPr>
        <w:t>etc. )</w:t>
      </w:r>
      <w:proofErr w:type="gramEnd"/>
      <w:r w:rsidRPr="00423585">
        <w:rPr>
          <w:rFonts w:ascii="Calibri" w:eastAsia="Calibri" w:hAnsi="Calibri" w:cs="Calibri"/>
          <w:color w:val="000000"/>
          <w:sz w:val="22"/>
          <w:szCs w:val="22"/>
          <w:lang w:val="en-US"/>
        </w:rPr>
        <w:t xml:space="preserve"> in a uniform way</w:t>
      </w:r>
    </w:p>
    <w:p w14:paraId="21167DFA"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76EBA14E"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ind w:right="90"/>
        <w:jc w:val="both"/>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The CTA will be responsible for identifying the technical approach, developing a roadmap for implementing an MVP with 1-2 content providers, 1-2 service providers and 4+ farmer facing organizations.</w:t>
      </w:r>
    </w:p>
    <w:p w14:paraId="48982419"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0FADA92E"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r w:rsidRPr="00423585">
        <w:rPr>
          <w:rFonts w:ascii="Calibri" w:eastAsia="Calibri" w:hAnsi="Calibri" w:cs="Calibri"/>
          <w:color w:val="000000"/>
          <w:sz w:val="22"/>
          <w:szCs w:val="22"/>
          <w:lang w:val="en-US"/>
        </w:rPr>
        <w:t>The CTA will:</w:t>
      </w:r>
    </w:p>
    <w:p w14:paraId="143FF1E0"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Engage with the AgriFin and KALRO teams to develop the short-term project strategy and longer-term growth strategy for the Sprout Platform to evolve toward a global open access platform for any actor in the digital ecosystem that is intends to support and/or provide services towards smallholder farmers;</w:t>
      </w:r>
    </w:p>
    <w:p w14:paraId="742EDFA2"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Engage and meet with partners &amp; farmers to further define and understand use cases, prerequisites, and capabilities to design the requirements for the platform. </w:t>
      </w:r>
    </w:p>
    <w:p w14:paraId="45465212"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Provide recommended specifications around the technology architecture for the pilot MVP delivery, as well as recommendations for its future development.</w:t>
      </w:r>
    </w:p>
    <w:p w14:paraId="35C75F12"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Identify potential solution providers and/or technical design partner or skills required for implementation</w:t>
      </w:r>
    </w:p>
    <w:p w14:paraId="3C9709E9"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Provide advisory and guidance around the MVP product parameters and support testing the newly designed features</w:t>
      </w:r>
    </w:p>
    <w:p w14:paraId="0963F75B" w14:textId="77777777" w:rsidR="00423585" w:rsidRPr="00423585" w:rsidRDefault="00423585" w:rsidP="00423585">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423585">
        <w:rPr>
          <w:rFonts w:ascii="Calibri" w:eastAsia="Calibri" w:hAnsi="Calibri" w:cs="Calibri"/>
          <w:color w:val="000000"/>
          <w:sz w:val="22"/>
          <w:szCs w:val="22"/>
          <w:lang w:val="en-US"/>
        </w:rPr>
        <w:t>Support the development of the next phase development of this facility with DAA, as well as the longer-term product roadmap for the facility as an AgriFin initiative moving forward.</w:t>
      </w:r>
    </w:p>
    <w:p w14:paraId="43044D0F" w14:textId="77777777" w:rsidR="00694A26" w:rsidRDefault="00694A26">
      <w:pPr>
        <w:rPr>
          <w:b/>
          <w:color w:val="000000"/>
        </w:rPr>
      </w:pPr>
    </w:p>
    <w:p w14:paraId="568BBF4C" w14:textId="26B0CCE1" w:rsidR="0014659C" w:rsidRDefault="004F46EC" w:rsidP="00740B27">
      <w:pPr>
        <w:rPr>
          <w:b/>
          <w:color w:val="000000"/>
          <w:sz w:val="20"/>
          <w:szCs w:val="20"/>
        </w:rPr>
      </w:pPr>
      <w:r w:rsidRPr="00C072DD">
        <w:rPr>
          <w:b/>
          <w:color w:val="000000"/>
          <w:sz w:val="20"/>
          <w:szCs w:val="20"/>
        </w:rPr>
        <w:t>Deliverables</w:t>
      </w:r>
    </w:p>
    <w:p w14:paraId="3D21FC63"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r w:rsidRPr="00423585">
        <w:rPr>
          <w:rFonts w:ascii="Calibri" w:eastAsia="Calibri" w:hAnsi="Calibri" w:cs="Calibri"/>
          <w:color w:val="222222"/>
          <w:sz w:val="22"/>
          <w:szCs w:val="22"/>
          <w:lang w:val="en-US"/>
        </w:rPr>
        <w:t>The consultants will provide the following deliverables, with specific timelines to be agreed in the approved consultant workplan:</w:t>
      </w:r>
    </w:p>
    <w:p w14:paraId="5BDC282C" w14:textId="77777777" w:rsidR="00423585" w:rsidRPr="00423585" w:rsidRDefault="00423585" w:rsidP="0042358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27FE0165"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222222"/>
          <w:sz w:val="22"/>
          <w:szCs w:val="22"/>
          <w:lang w:val="en-US"/>
        </w:rPr>
        <w:t>Weekly check-ins minutes with the Task Managers and Sprout Platform Product Lead</w:t>
      </w:r>
    </w:p>
    <w:p w14:paraId="56883843"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222222"/>
          <w:sz w:val="22"/>
          <w:szCs w:val="22"/>
          <w:lang w:val="en-US"/>
        </w:rPr>
        <w:t>Monthly report updating Sprout Platform Project status, potential risks, and any other updates from partnership implementation in the month.</w:t>
      </w:r>
    </w:p>
    <w:p w14:paraId="42E34180"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000000"/>
          <w:sz w:val="22"/>
          <w:szCs w:val="22"/>
          <w:lang w:val="en-US"/>
        </w:rPr>
        <w:t xml:space="preserve"> Provide support on short/long -term Sprout Platform Strategy and Systems Architecture</w:t>
      </w:r>
    </w:p>
    <w:p w14:paraId="23549934"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000000"/>
          <w:sz w:val="22"/>
          <w:szCs w:val="22"/>
          <w:lang w:val="en-US"/>
        </w:rPr>
        <w:t>MVP design, new products, and systems architecture schema</w:t>
      </w:r>
    </w:p>
    <w:p w14:paraId="7F862139"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000000"/>
          <w:sz w:val="22"/>
          <w:szCs w:val="22"/>
          <w:lang w:val="en-US"/>
        </w:rPr>
        <w:t>Identify and develop list of suppliers and or resources required for the Sprout Platform MVP product development</w:t>
      </w:r>
    </w:p>
    <w:p w14:paraId="57B596E5"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000000"/>
          <w:sz w:val="22"/>
          <w:szCs w:val="22"/>
          <w:lang w:val="en-US"/>
        </w:rPr>
        <w:lastRenderedPageBreak/>
        <w:t>Support implementation of new products and MVPs</w:t>
      </w:r>
    </w:p>
    <w:p w14:paraId="6C6AAD86" w14:textId="77777777" w:rsidR="00423585" w:rsidRPr="00423585" w:rsidRDefault="00423585" w:rsidP="0042358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23585">
        <w:rPr>
          <w:rFonts w:ascii="Calibri" w:eastAsia="Calibri" w:hAnsi="Calibri" w:cs="Calibri"/>
          <w:color w:val="000000"/>
          <w:sz w:val="22"/>
          <w:szCs w:val="22"/>
          <w:lang w:val="en-US"/>
        </w:rPr>
        <w:t>Develop long term digital technology vision, road map, and systems architecture</w:t>
      </w:r>
    </w:p>
    <w:p w14:paraId="5A9CEFCE" w14:textId="77777777" w:rsidR="004B65E4" w:rsidRPr="004B65E4" w:rsidRDefault="004B65E4" w:rsidP="004B65E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FE2FBE">
      <w:pPr>
        <w:widowControl w:val="0"/>
        <w:spacing w:after="160" w:line="240" w:lineRule="auto"/>
        <w:rPr>
          <w:sz w:val="20"/>
          <w:szCs w:val="20"/>
        </w:rPr>
      </w:pPr>
      <w:r w:rsidRPr="00C072DD">
        <w:rPr>
          <w:noProof/>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85pt;height:49.9pt;mso-width-percent:0;mso-height-percent:0;mso-width-percent:0;mso-height-percent:0" o:ole="">
            <v:imagedata r:id="rId18" o:title=""/>
          </v:shape>
          <o:OLEObject Type="Embed" ProgID="Word.Document.12" ShapeID="_x0000_i1025" DrawAspect="Icon" ObjectID="_1705732333" r:id="rId19">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09739F34" w:rsidR="004F46EC" w:rsidRPr="00C072DD" w:rsidRDefault="00FE2FBE" w:rsidP="004F46EC">
      <w:pPr>
        <w:widowControl w:val="0"/>
        <w:spacing w:after="160" w:line="240" w:lineRule="auto"/>
        <w:rPr>
          <w:b/>
          <w:color w:val="D01D2B"/>
          <w:sz w:val="20"/>
          <w:szCs w:val="20"/>
        </w:rPr>
      </w:pPr>
      <w:r w:rsidRPr="00C072DD">
        <w:rPr>
          <w:noProof/>
          <w:sz w:val="20"/>
          <w:szCs w:val="20"/>
        </w:rPr>
        <w:object w:dxaOrig="1810" w:dyaOrig="1181" w14:anchorId="572A3654">
          <v:shape id="_x0000_i1026" type="#_x0000_t75" alt="" style="width:91.2pt;height:58.55pt;mso-width-percent:0;mso-height-percent:0;mso-width-percent:0;mso-height-percent:0" o:ole="">
            <v:imagedata r:id="rId20" o:title=""/>
          </v:shape>
          <o:OLEObject Type="Embed" ProgID="Word.Document.12" ShapeID="_x0000_i1026" DrawAspect="Icon" ObjectID="_1705732334" r:id="rId21">
            <o:FieldCodes>\s</o:FieldCodes>
          </o:OLEObject>
        </w:object>
      </w:r>
      <w:bookmarkStart w:id="13" w:name="_MON_1602054793"/>
      <w:bookmarkEnd w:id="13"/>
      <w:r w:rsidR="000D7EA4" w:rsidRPr="00C072DD">
        <w:rPr>
          <w:noProof/>
          <w:sz w:val="20"/>
          <w:szCs w:val="20"/>
        </w:rPr>
        <w:object w:dxaOrig="2262" w:dyaOrig="1476" w14:anchorId="09732908">
          <v:shape id="_x0000_i1031" type="#_x0000_t75" alt="" style="width:113.3pt;height:1in" o:ole="">
            <v:imagedata r:id="rId22" o:title=""/>
          </v:shape>
          <o:OLEObject Type="Embed" ProgID="Excel.Sheet.12" ShapeID="_x0000_i1031" DrawAspect="Icon" ObjectID="_1705732335" r:id="rId23"/>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4"/>
      <w:footerReference w:type="default" r:id="rId25"/>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8F2F" w14:textId="77777777" w:rsidR="009F61F6" w:rsidRDefault="009F61F6">
      <w:pPr>
        <w:spacing w:after="0" w:line="240" w:lineRule="auto"/>
      </w:pPr>
      <w:r>
        <w:separator/>
      </w:r>
    </w:p>
  </w:endnote>
  <w:endnote w:type="continuationSeparator" w:id="0">
    <w:p w14:paraId="57D270BF" w14:textId="77777777" w:rsidR="009F61F6" w:rsidRDefault="009F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CB19604"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w:t>
    </w:r>
    <w:r w:rsidR="00157512">
      <w:rPr>
        <w:color w:val="0000FF"/>
      </w:rPr>
      <w:t>4</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EC6D" w14:textId="77777777" w:rsidR="009F61F6" w:rsidRDefault="009F61F6">
      <w:pPr>
        <w:spacing w:after="0" w:line="240" w:lineRule="auto"/>
      </w:pPr>
      <w:r>
        <w:separator/>
      </w:r>
    </w:p>
  </w:footnote>
  <w:footnote w:type="continuationSeparator" w:id="0">
    <w:p w14:paraId="4A2BD41D" w14:textId="77777777" w:rsidR="009F61F6" w:rsidRDefault="009F6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B30606"/>
    <w:multiLevelType w:val="multilevel"/>
    <w:tmpl w:val="6EF2C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70356A2"/>
    <w:multiLevelType w:val="multilevel"/>
    <w:tmpl w:val="ACEA2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51143D94"/>
    <w:multiLevelType w:val="multilevel"/>
    <w:tmpl w:val="2494A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A71BE5"/>
    <w:multiLevelType w:val="multilevel"/>
    <w:tmpl w:val="8CB684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366525"/>
    <w:multiLevelType w:val="multilevel"/>
    <w:tmpl w:val="ED823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3"/>
  </w:num>
  <w:num w:numId="2">
    <w:abstractNumId w:val="12"/>
  </w:num>
  <w:num w:numId="3">
    <w:abstractNumId w:val="30"/>
  </w:num>
  <w:num w:numId="4">
    <w:abstractNumId w:val="2"/>
  </w:num>
  <w:num w:numId="5">
    <w:abstractNumId w:val="0"/>
  </w:num>
  <w:num w:numId="6">
    <w:abstractNumId w:val="39"/>
  </w:num>
  <w:num w:numId="7">
    <w:abstractNumId w:val="3"/>
  </w:num>
  <w:num w:numId="8">
    <w:abstractNumId w:val="21"/>
  </w:num>
  <w:num w:numId="9">
    <w:abstractNumId w:val="28"/>
  </w:num>
  <w:num w:numId="10">
    <w:abstractNumId w:val="4"/>
  </w:num>
  <w:num w:numId="11">
    <w:abstractNumId w:val="17"/>
  </w:num>
  <w:num w:numId="12">
    <w:abstractNumId w:val="29"/>
  </w:num>
  <w:num w:numId="13">
    <w:abstractNumId w:val="10"/>
  </w:num>
  <w:num w:numId="14">
    <w:abstractNumId w:val="25"/>
  </w:num>
  <w:num w:numId="15">
    <w:abstractNumId w:val="6"/>
  </w:num>
  <w:num w:numId="16">
    <w:abstractNumId w:val="1"/>
  </w:num>
  <w:num w:numId="17">
    <w:abstractNumId w:val="11"/>
  </w:num>
  <w:num w:numId="18">
    <w:abstractNumId w:val="38"/>
  </w:num>
  <w:num w:numId="19">
    <w:abstractNumId w:val="37"/>
  </w:num>
  <w:num w:numId="20">
    <w:abstractNumId w:val="20"/>
  </w:num>
  <w:num w:numId="21">
    <w:abstractNumId w:val="14"/>
  </w:num>
  <w:num w:numId="22">
    <w:abstractNumId w:val="16"/>
  </w:num>
  <w:num w:numId="23">
    <w:abstractNumId w:val="5"/>
  </w:num>
  <w:num w:numId="24">
    <w:abstractNumId w:val="9"/>
  </w:num>
  <w:num w:numId="25">
    <w:abstractNumId w:val="18"/>
  </w:num>
  <w:num w:numId="26">
    <w:abstractNumId w:val="34"/>
  </w:num>
  <w:num w:numId="27">
    <w:abstractNumId w:val="26"/>
  </w:num>
  <w:num w:numId="28">
    <w:abstractNumId w:val="31"/>
  </w:num>
  <w:num w:numId="29">
    <w:abstractNumId w:val="24"/>
  </w:num>
  <w:num w:numId="30">
    <w:abstractNumId w:val="36"/>
  </w:num>
  <w:num w:numId="31">
    <w:abstractNumId w:val="19"/>
  </w:num>
  <w:num w:numId="32">
    <w:abstractNumId w:val="15"/>
  </w:num>
  <w:num w:numId="33">
    <w:abstractNumId w:val="33"/>
  </w:num>
  <w:num w:numId="34">
    <w:abstractNumId w:val="32"/>
  </w:num>
  <w:num w:numId="35">
    <w:abstractNumId w:val="23"/>
  </w:num>
  <w:num w:numId="36">
    <w:abstractNumId w:val="27"/>
  </w:num>
  <w:num w:numId="37">
    <w:abstractNumId w:val="35"/>
  </w:num>
  <w:num w:numId="38">
    <w:abstractNumId w:val="22"/>
  </w:num>
  <w:num w:numId="39">
    <w:abstractNumId w:val="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108D1"/>
    <w:rsid w:val="0001569D"/>
    <w:rsid w:val="000304C9"/>
    <w:rsid w:val="00056A24"/>
    <w:rsid w:val="00072078"/>
    <w:rsid w:val="00076669"/>
    <w:rsid w:val="00087109"/>
    <w:rsid w:val="000903BD"/>
    <w:rsid w:val="00093524"/>
    <w:rsid w:val="000A69A2"/>
    <w:rsid w:val="000D7EA4"/>
    <w:rsid w:val="000F24B0"/>
    <w:rsid w:val="000F3A19"/>
    <w:rsid w:val="00110EF9"/>
    <w:rsid w:val="001417B7"/>
    <w:rsid w:val="001449E3"/>
    <w:rsid w:val="0014659C"/>
    <w:rsid w:val="00157512"/>
    <w:rsid w:val="001771CF"/>
    <w:rsid w:val="001800D2"/>
    <w:rsid w:val="00191EE1"/>
    <w:rsid w:val="001A21FD"/>
    <w:rsid w:val="001B1D86"/>
    <w:rsid w:val="001D3C50"/>
    <w:rsid w:val="001E37AD"/>
    <w:rsid w:val="001E5647"/>
    <w:rsid w:val="00234035"/>
    <w:rsid w:val="00263E19"/>
    <w:rsid w:val="00264906"/>
    <w:rsid w:val="002745CF"/>
    <w:rsid w:val="00280D70"/>
    <w:rsid w:val="00295132"/>
    <w:rsid w:val="0029666E"/>
    <w:rsid w:val="002972EC"/>
    <w:rsid w:val="002F0EB4"/>
    <w:rsid w:val="002F5D03"/>
    <w:rsid w:val="00386539"/>
    <w:rsid w:val="00390DC4"/>
    <w:rsid w:val="003949DD"/>
    <w:rsid w:val="00396A4E"/>
    <w:rsid w:val="0039741C"/>
    <w:rsid w:val="003A0ACB"/>
    <w:rsid w:val="003B317D"/>
    <w:rsid w:val="003B6DC3"/>
    <w:rsid w:val="003C7A11"/>
    <w:rsid w:val="003D1EED"/>
    <w:rsid w:val="003D2C15"/>
    <w:rsid w:val="003D6CE2"/>
    <w:rsid w:val="003E4E2B"/>
    <w:rsid w:val="003F576A"/>
    <w:rsid w:val="00423585"/>
    <w:rsid w:val="00424BDC"/>
    <w:rsid w:val="0047274E"/>
    <w:rsid w:val="00474698"/>
    <w:rsid w:val="00497FA6"/>
    <w:rsid w:val="004A0109"/>
    <w:rsid w:val="004A55C1"/>
    <w:rsid w:val="004B65E4"/>
    <w:rsid w:val="004D74BC"/>
    <w:rsid w:val="004E788C"/>
    <w:rsid w:val="004F46EC"/>
    <w:rsid w:val="005560D4"/>
    <w:rsid w:val="00557858"/>
    <w:rsid w:val="005A01C1"/>
    <w:rsid w:val="005B25DA"/>
    <w:rsid w:val="005F22A9"/>
    <w:rsid w:val="00602299"/>
    <w:rsid w:val="00607F65"/>
    <w:rsid w:val="00617E56"/>
    <w:rsid w:val="00621B5F"/>
    <w:rsid w:val="00622C37"/>
    <w:rsid w:val="00643E25"/>
    <w:rsid w:val="00644A38"/>
    <w:rsid w:val="00651D79"/>
    <w:rsid w:val="006674A7"/>
    <w:rsid w:val="0066768E"/>
    <w:rsid w:val="00694A26"/>
    <w:rsid w:val="006B4FD2"/>
    <w:rsid w:val="006B6C56"/>
    <w:rsid w:val="006C5819"/>
    <w:rsid w:val="006D09C4"/>
    <w:rsid w:val="00716CAB"/>
    <w:rsid w:val="00740B27"/>
    <w:rsid w:val="007501F4"/>
    <w:rsid w:val="00753F2E"/>
    <w:rsid w:val="00775789"/>
    <w:rsid w:val="007B76DA"/>
    <w:rsid w:val="007C0375"/>
    <w:rsid w:val="007C7445"/>
    <w:rsid w:val="007E5778"/>
    <w:rsid w:val="00800B67"/>
    <w:rsid w:val="00805F11"/>
    <w:rsid w:val="008340ED"/>
    <w:rsid w:val="008636FA"/>
    <w:rsid w:val="00865422"/>
    <w:rsid w:val="00897A00"/>
    <w:rsid w:val="008A2B7F"/>
    <w:rsid w:val="008D4B0D"/>
    <w:rsid w:val="008E76F8"/>
    <w:rsid w:val="0091197C"/>
    <w:rsid w:val="00935E93"/>
    <w:rsid w:val="00937458"/>
    <w:rsid w:val="00946EA3"/>
    <w:rsid w:val="0096188E"/>
    <w:rsid w:val="00965245"/>
    <w:rsid w:val="00984237"/>
    <w:rsid w:val="009D2556"/>
    <w:rsid w:val="009E15DE"/>
    <w:rsid w:val="009F61F6"/>
    <w:rsid w:val="00A05929"/>
    <w:rsid w:val="00A25D8C"/>
    <w:rsid w:val="00A276D5"/>
    <w:rsid w:val="00A4708C"/>
    <w:rsid w:val="00A477E5"/>
    <w:rsid w:val="00A526CC"/>
    <w:rsid w:val="00A6245F"/>
    <w:rsid w:val="00A67F79"/>
    <w:rsid w:val="00A915F8"/>
    <w:rsid w:val="00A97D48"/>
    <w:rsid w:val="00AA1999"/>
    <w:rsid w:val="00AB09CD"/>
    <w:rsid w:val="00AB0EEB"/>
    <w:rsid w:val="00AB5387"/>
    <w:rsid w:val="00AC3C65"/>
    <w:rsid w:val="00AC47A8"/>
    <w:rsid w:val="00AD232C"/>
    <w:rsid w:val="00AD2F8E"/>
    <w:rsid w:val="00B10080"/>
    <w:rsid w:val="00B4198D"/>
    <w:rsid w:val="00B77580"/>
    <w:rsid w:val="00B85A35"/>
    <w:rsid w:val="00B87668"/>
    <w:rsid w:val="00B926B1"/>
    <w:rsid w:val="00B945D2"/>
    <w:rsid w:val="00BB1030"/>
    <w:rsid w:val="00BB4B50"/>
    <w:rsid w:val="00BB6D4A"/>
    <w:rsid w:val="00BD2DFA"/>
    <w:rsid w:val="00BF5C6B"/>
    <w:rsid w:val="00C05A7C"/>
    <w:rsid w:val="00C072DD"/>
    <w:rsid w:val="00C10EEE"/>
    <w:rsid w:val="00C26704"/>
    <w:rsid w:val="00C30AFD"/>
    <w:rsid w:val="00C558D6"/>
    <w:rsid w:val="00C646FA"/>
    <w:rsid w:val="00CA560B"/>
    <w:rsid w:val="00CA5A2C"/>
    <w:rsid w:val="00CF14F8"/>
    <w:rsid w:val="00CF1A70"/>
    <w:rsid w:val="00CF1EE0"/>
    <w:rsid w:val="00D1545C"/>
    <w:rsid w:val="00D22467"/>
    <w:rsid w:val="00D441C0"/>
    <w:rsid w:val="00D4502B"/>
    <w:rsid w:val="00D63BE2"/>
    <w:rsid w:val="00D7750D"/>
    <w:rsid w:val="00D80187"/>
    <w:rsid w:val="00D92396"/>
    <w:rsid w:val="00D93C71"/>
    <w:rsid w:val="00DA4BF3"/>
    <w:rsid w:val="00DB6916"/>
    <w:rsid w:val="00DC2A3A"/>
    <w:rsid w:val="00DD0F45"/>
    <w:rsid w:val="00E12A7F"/>
    <w:rsid w:val="00E34567"/>
    <w:rsid w:val="00E71361"/>
    <w:rsid w:val="00E87AAF"/>
    <w:rsid w:val="00E918D7"/>
    <w:rsid w:val="00E92E3B"/>
    <w:rsid w:val="00E96E73"/>
    <w:rsid w:val="00EC15FD"/>
    <w:rsid w:val="00EC6487"/>
    <w:rsid w:val="00EC66B1"/>
    <w:rsid w:val="00EE01A5"/>
    <w:rsid w:val="00F015A3"/>
    <w:rsid w:val="00F244E5"/>
    <w:rsid w:val="00F30346"/>
    <w:rsid w:val="00F775F7"/>
    <w:rsid w:val="00F876FE"/>
    <w:rsid w:val="00F91DA3"/>
    <w:rsid w:val="00FB091F"/>
    <w:rsid w:val="00FD7DC0"/>
    <w:rsid w:val="00FE2FBE"/>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routopencontent.com/" TargetMode="External"/><Relationship Id="rId13" Type="http://schemas.openxmlformats.org/officeDocument/2006/relationships/hyperlink" Target="http://www.mercycorpsagrifin.org"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mailto:tenders@mercycorps.org" TargetMode="External"/><Relationship Id="rId17" Type="http://schemas.openxmlformats.org/officeDocument/2006/relationships/hyperlink" Target="http://mercycorps.org/integrityhotli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rcycorpsagrifin.org"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ercycorps.org/tender" TargetMode="External"/><Relationship Id="rId23" Type="http://schemas.openxmlformats.org/officeDocument/2006/relationships/package" Target="embeddings/Microsoft_Excel_Worksheet.xlsx"/><Relationship Id="rId10" Type="http://schemas.openxmlformats.org/officeDocument/2006/relationships/hyperlink" Target="https://www.mercycorps.org/tender"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www.mercycorpsagrifin.org" TargetMode="External"/><Relationship Id="rId14" Type="http://schemas.openxmlformats.org/officeDocument/2006/relationships/hyperlink" Target="https://www.mercycorps.org/tender" TargetMode="External"/><Relationship Id="rId22" Type="http://schemas.openxmlformats.org/officeDocument/2006/relationships/image" Target="media/image3.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2022-02-07T06:46:00Z</dcterms:created>
  <dcterms:modified xsi:type="dcterms:W3CDTF">2022-02-07T06:46:00Z</dcterms:modified>
</cp:coreProperties>
</file>