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AB" w:rsidRDefault="00005BD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D01D2B"/>
          <w:sz w:val="28"/>
        </w:rPr>
        <w:t xml:space="preserve"> </w:t>
      </w:r>
    </w:p>
    <w:tbl>
      <w:tblPr>
        <w:tblStyle w:val="TableGrid"/>
        <w:tblW w:w="10802" w:type="dxa"/>
        <w:tblInd w:w="110" w:type="dxa"/>
        <w:tblCellMar>
          <w:top w:w="11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751"/>
        <w:gridCol w:w="6051"/>
      </w:tblGrid>
      <w:tr w:rsidR="003678AB">
        <w:trPr>
          <w:trHeight w:val="864"/>
        </w:trPr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8AB" w:rsidRDefault="00005BD2" w:rsidP="00BC3E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Tender No: </w:t>
            </w:r>
            <w:r w:rsidR="00704ABF">
              <w:rPr>
                <w:b/>
                <w:sz w:val="22"/>
              </w:rPr>
              <w:t>MC-AFA/NBO/035</w:t>
            </w:r>
            <w:r w:rsidR="00BC3E10">
              <w:rPr>
                <w:b/>
                <w:sz w:val="22"/>
              </w:rPr>
              <w:t>/ 2020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Responses to Queries raised by prospective tenderers </w:t>
            </w:r>
          </w:p>
        </w:tc>
      </w:tr>
      <w:tr w:rsidR="003678AB">
        <w:trPr>
          <w:trHeight w:val="1507"/>
        </w:trPr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8AB" w:rsidRDefault="00BC3E10" w:rsidP="00704ABF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>Tender Name:</w:t>
            </w:r>
            <w:r w:rsidRPr="0007255B">
              <w:rPr>
                <w:b/>
                <w:sz w:val="22"/>
              </w:rPr>
              <w:t xml:space="preserve"> </w:t>
            </w:r>
            <w:r w:rsidR="00704ABF">
              <w:rPr>
                <w:b/>
                <w:sz w:val="22"/>
              </w:rPr>
              <w:t>Digital Storytelling Consultant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8AB" w:rsidRDefault="00BC3E10" w:rsidP="00BC3E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Date Issued: </w:t>
            </w:r>
            <w:r w:rsidR="00005BD2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</w:t>
            </w:r>
            <w:r w:rsidR="00C75DD2">
              <w:rPr>
                <w:rFonts w:ascii="Arial" w:eastAsia="Arial" w:hAnsi="Arial" w:cs="Arial"/>
                <w:b/>
                <w:color w:val="4C515A"/>
                <w:sz w:val="28"/>
              </w:rPr>
              <w:t>(25</w:t>
            </w:r>
            <w:r w:rsidR="00A255ED" w:rsidRPr="00A255ED">
              <w:rPr>
                <w:rFonts w:ascii="Arial" w:eastAsia="Arial" w:hAnsi="Arial" w:cs="Arial"/>
                <w:b/>
                <w:color w:val="4C515A"/>
                <w:sz w:val="28"/>
                <w:vertAlign w:val="superscript"/>
              </w:rPr>
              <w:t>th</w:t>
            </w:r>
            <w:r w:rsidR="00704ABF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August</w:t>
            </w:r>
            <w:r w:rsidR="00A255ED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2020</w:t>
            </w:r>
            <w:r>
              <w:rPr>
                <w:rFonts w:ascii="Arial" w:eastAsia="Arial" w:hAnsi="Arial" w:cs="Arial"/>
                <w:b/>
                <w:color w:val="4C515A"/>
                <w:sz w:val="28"/>
              </w:rPr>
              <w:t>)</w:t>
            </w:r>
            <w:r w:rsidR="00005BD2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</w:t>
            </w:r>
          </w:p>
        </w:tc>
      </w:tr>
    </w:tbl>
    <w:p w:rsidR="003678AB" w:rsidRDefault="00005BD2">
      <w:pPr>
        <w:spacing w:after="28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678AB" w:rsidRDefault="00005BD2">
      <w:pPr>
        <w:ind w:left="-5"/>
      </w:pPr>
      <w:r>
        <w:t xml:space="preserve">This provides answers to queries raised by bidders as at </w:t>
      </w:r>
      <w:r w:rsidR="00704ABF">
        <w:t>(20</w:t>
      </w:r>
      <w:r w:rsidR="00A255ED" w:rsidRPr="00A255ED">
        <w:rPr>
          <w:vertAlign w:val="superscript"/>
        </w:rPr>
        <w:t>th</w:t>
      </w:r>
      <w:r w:rsidR="00704ABF">
        <w:t xml:space="preserve"> August</w:t>
      </w:r>
      <w:r w:rsidR="00A255ED">
        <w:t xml:space="preserve"> 2020</w:t>
      </w:r>
      <w:r w:rsidR="00BC3E10">
        <w:t>)</w:t>
      </w:r>
      <w:r>
        <w:t xml:space="preserve"> which was the deadline for sending queries. The responses are posted on website for the benefit of all prospective bidders and does not disclose the source of the query. </w:t>
      </w:r>
    </w:p>
    <w:p w:rsidR="003678AB" w:rsidRDefault="00005BD2">
      <w:pPr>
        <w:spacing w:after="0" w:line="259" w:lineRule="auto"/>
        <w:ind w:left="0" w:firstLine="0"/>
        <w:jc w:val="left"/>
      </w:pPr>
      <w:r>
        <w:t xml:space="preserve"> </w:t>
      </w:r>
    </w:p>
    <w:p w:rsidR="003678AB" w:rsidRDefault="00005BD2">
      <w:pPr>
        <w:spacing w:after="314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95846" cy="38100"/>
                <wp:effectExtent l="0" t="0" r="0" b="0"/>
                <wp:docPr id="6494" name="Group 6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8100"/>
                          <a:chOff x="0" y="0"/>
                          <a:chExt cx="6895846" cy="381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895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94" style="width:542.98pt;height:3pt;mso-position-horizontal-relative:char;mso-position-vertical-relative:line" coordsize="68958,381">
                <v:shape id="Shape 90" style="position:absolute;width:68958;height:0;left:0;top:0;" coordsize="6895846,0" path="m0,0l6895846,0">
                  <v:stroke weight="3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678AB" w:rsidRDefault="00005BD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797" w:type="dxa"/>
        <w:tblInd w:w="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72"/>
        <w:gridCol w:w="6708"/>
        <w:gridCol w:w="3517"/>
      </w:tblGrid>
      <w:tr w:rsidR="003678AB" w:rsidTr="00C75DD2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t xml:space="preserve">No.  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Question 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Response  </w:t>
            </w:r>
          </w:p>
        </w:tc>
      </w:tr>
      <w:tr w:rsidR="003678AB" w:rsidTr="00C75DD2">
        <w:trPr>
          <w:trHeight w:val="10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A255E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D2" w:rsidRDefault="00C75DD2" w:rsidP="00C75DD2">
            <w:pPr>
              <w:spacing w:after="0" w:line="259" w:lineRule="auto"/>
              <w:ind w:left="0" w:right="107" w:firstLine="0"/>
            </w:pPr>
            <w:r>
              <w:t xml:space="preserve">    Logistics Costs</w:t>
            </w:r>
          </w:p>
          <w:p w:rsidR="00C75DD2" w:rsidRDefault="00C75DD2" w:rsidP="00C75DD2">
            <w:pPr>
              <w:spacing w:after="0" w:line="259" w:lineRule="auto"/>
              <w:ind w:left="0" w:right="107" w:firstLine="0"/>
            </w:pPr>
            <w:r>
              <w:t xml:space="preserve">From the document it seems Mercy Corps </w:t>
            </w:r>
            <w:proofErr w:type="spellStart"/>
            <w:r>
              <w:t>AgriFin</w:t>
            </w:r>
            <w:proofErr w:type="spellEnd"/>
            <w:r>
              <w:t xml:space="preserve"> will take care of all logistics costs such as transportation, meals, accommodation where necessary. Should we omit these costs from our estimates all together? </w:t>
            </w:r>
          </w:p>
          <w:p w:rsidR="003678AB" w:rsidRDefault="00C75DD2" w:rsidP="00C75DD2">
            <w:pPr>
              <w:spacing w:after="0" w:line="259" w:lineRule="auto"/>
              <w:ind w:left="0" w:right="107" w:firstLine="0"/>
            </w:pPr>
            <w:r>
              <w:t xml:space="preserve">        In case we are supposed to give an estimate on the logistics costs such as transportation, meals, accommodation, </w:t>
            </w:r>
            <w:proofErr w:type="spellStart"/>
            <w:proofErr w:type="gramStart"/>
            <w:r>
              <w:t>etc..It</w:t>
            </w:r>
            <w:proofErr w:type="spellEnd"/>
            <w:proofErr w:type="gramEnd"/>
            <w:r>
              <w:t xml:space="preserve"> would help to know which areas Mercy Corp </w:t>
            </w:r>
            <w:proofErr w:type="spellStart"/>
            <w:r>
              <w:t>AgriFin</w:t>
            </w:r>
            <w:proofErr w:type="spellEnd"/>
            <w:r>
              <w:t xml:space="preserve"> has been working within Kenya for a more accurate quote. For example, transportation may be charged per kilometer travelled while the need for accommodation will depend on how far the regions to be visited are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704ABF">
            <w:pPr>
              <w:spacing w:after="0" w:line="259" w:lineRule="auto"/>
              <w:ind w:left="0" w:firstLine="0"/>
              <w:jc w:val="left"/>
            </w:pPr>
            <w:r w:rsidRPr="00704ABF">
              <w:t>Please include these costs in your budget</w:t>
            </w:r>
            <w:r>
              <w:t xml:space="preserve"> and </w:t>
            </w:r>
            <w:r w:rsidR="00D44305">
              <w:t xml:space="preserve">note that </w:t>
            </w:r>
            <w:r>
              <w:t xml:space="preserve">the coverage will be </w:t>
            </w:r>
            <w:r w:rsidRPr="0061055B">
              <w:rPr>
                <w:rFonts w:eastAsia="SimSun"/>
                <w:color w:val="auto"/>
                <w:sz w:val="22"/>
              </w:rPr>
              <w:t>around Kenya</w:t>
            </w:r>
            <w:r>
              <w:rPr>
                <w:rFonts w:eastAsia="SimSun"/>
                <w:color w:val="auto"/>
                <w:sz w:val="22"/>
              </w:rPr>
              <w:t xml:space="preserve"> for participants to be selected.</w:t>
            </w:r>
          </w:p>
          <w:p w:rsidR="00704ABF" w:rsidRDefault="00704ABF">
            <w:pPr>
              <w:spacing w:after="0" w:line="259" w:lineRule="auto"/>
              <w:ind w:left="0" w:firstLine="0"/>
              <w:jc w:val="left"/>
            </w:pPr>
          </w:p>
        </w:tc>
      </w:tr>
      <w:tr w:rsidR="00A255ED" w:rsidTr="00C75DD2">
        <w:trPr>
          <w:trHeight w:val="10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D" w:rsidRDefault="00A255E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D2" w:rsidRDefault="00C75DD2" w:rsidP="00C75DD2">
            <w:pPr>
              <w:spacing w:after="0" w:line="259" w:lineRule="auto"/>
              <w:ind w:left="0" w:right="107" w:firstLine="0"/>
            </w:pPr>
            <w:r>
              <w:t xml:space="preserve">    Supplier Eligibility</w:t>
            </w:r>
          </w:p>
          <w:p w:rsidR="00A255ED" w:rsidRDefault="00C75DD2" w:rsidP="00C75DD2">
            <w:pPr>
              <w:spacing w:after="0" w:line="259" w:lineRule="auto"/>
              <w:ind w:left="0" w:right="107" w:firstLine="0"/>
            </w:pPr>
            <w:r>
              <w:t xml:space="preserve"> From the document it states that "Suppliers may not apply, and will be rejected as ineligible, if they are not registered companies". Does this mean a business legally registered under any other form such as a partnership or a sole proprietor, but which operates a fully professional business with proper audited financial statements and tax compliance , already approved as a supplier of choice by other international organizations such as the World Bank, British High Commission, </w:t>
            </w:r>
            <w:proofErr w:type="spellStart"/>
            <w:r>
              <w:t>etc</w:t>
            </w:r>
            <w:proofErr w:type="spellEnd"/>
            <w:r>
              <w:t xml:space="preserve"> may not be eligible?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D" w:rsidRDefault="00996ACF" w:rsidP="00C75DD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bookmarkStart w:id="0" w:name="_GoBack"/>
            <w:r>
              <w:rPr>
                <w:sz w:val="22"/>
              </w:rPr>
              <w:t>This tender is</w:t>
            </w:r>
            <w:r w:rsidR="00C75DD2" w:rsidRPr="00C75DD2">
              <w:rPr>
                <w:sz w:val="22"/>
              </w:rPr>
              <w:t xml:space="preserve"> not limited to co</w:t>
            </w:r>
            <w:r w:rsidR="00C75DD2">
              <w:rPr>
                <w:sz w:val="22"/>
              </w:rPr>
              <w:t>mpanies but open to a</w:t>
            </w:r>
            <w:r w:rsidR="00C75DD2" w:rsidRPr="00C75DD2">
              <w:rPr>
                <w:sz w:val="22"/>
              </w:rPr>
              <w:t>ny type of professional business as long as registration documents are availed</w:t>
            </w:r>
            <w:r w:rsidR="00C75DD2">
              <w:rPr>
                <w:sz w:val="22"/>
              </w:rPr>
              <w:t>.</w:t>
            </w:r>
            <w:bookmarkEnd w:id="0"/>
          </w:p>
        </w:tc>
      </w:tr>
      <w:tr w:rsidR="00C75DD2" w:rsidTr="00C75DD2">
        <w:trPr>
          <w:trHeight w:val="10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D2" w:rsidRDefault="00C75DD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D2" w:rsidRDefault="00C75DD2" w:rsidP="00C75DD2">
            <w:pPr>
              <w:spacing w:after="0" w:line="259" w:lineRule="auto"/>
              <w:ind w:left="0" w:right="107" w:firstLine="0"/>
            </w:pPr>
            <w:r>
              <w:t xml:space="preserve">    Service Contract Terms</w:t>
            </w:r>
          </w:p>
          <w:p w:rsidR="00C75DD2" w:rsidRDefault="00C75DD2" w:rsidP="00C75DD2">
            <w:pPr>
              <w:spacing w:after="0" w:line="259" w:lineRule="auto"/>
              <w:ind w:left="0" w:right="107" w:firstLine="0"/>
            </w:pPr>
            <w:r>
              <w:t xml:space="preserve"> Under the service contract, there are three options from which the supplier is to choose their preferred method; Fixed Price, Cost plus Fixed Fee, Time &amp; Materials - Fixed Labor Rates. However, from the Request for Proposal document, clause 3.1, it states "Mercy Corps intends to issue a Fixed Price contract...". Kindly guide us as to what is applicable in this particular case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D2" w:rsidRDefault="00C75DD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75DD2">
              <w:rPr>
                <w:sz w:val="22"/>
              </w:rPr>
              <w:t>This will be a fixed price contract</w:t>
            </w:r>
          </w:p>
        </w:tc>
      </w:tr>
    </w:tbl>
    <w:p w:rsidR="003678AB" w:rsidRDefault="003678AB">
      <w:pPr>
        <w:spacing w:after="319" w:line="259" w:lineRule="auto"/>
        <w:ind w:left="0" w:firstLine="0"/>
        <w:jc w:val="left"/>
      </w:pPr>
    </w:p>
    <w:p w:rsidR="003678AB" w:rsidRDefault="00005BD2">
      <w:pPr>
        <w:spacing w:after="292" w:line="259" w:lineRule="auto"/>
        <w:ind w:left="0" w:firstLine="0"/>
        <w:jc w:val="left"/>
      </w:pPr>
      <w:r>
        <w:rPr>
          <w:b/>
        </w:rPr>
        <w:t xml:space="preserve">All other terms and conditions in the tender remain unchanged. </w:t>
      </w:r>
    </w:p>
    <w:p w:rsidR="003678AB" w:rsidRDefault="00005BD2">
      <w:pPr>
        <w:ind w:left="-5"/>
      </w:pPr>
      <w:r>
        <w:t xml:space="preserve">******************************* </w:t>
      </w:r>
    </w:p>
    <w:sectPr w:rsidR="00367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74" w:right="715" w:bottom="1630" w:left="7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16" w:rsidRDefault="00AB3416">
      <w:pPr>
        <w:spacing w:after="0" w:line="240" w:lineRule="auto"/>
      </w:pPr>
      <w:r>
        <w:separator/>
      </w:r>
    </w:p>
  </w:endnote>
  <w:endnote w:type="continuationSeparator" w:id="0">
    <w:p w:rsidR="00AB3416" w:rsidRDefault="00AB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7031" name="Group 7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7" name="Shape 7227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31" style="width:542.98pt;height:0.47998pt;position:absolute;mso-position-horizontal-relative:page;mso-position-horizontal:absolute;margin-left:34.56pt;mso-position-vertical-relative:page;margin-top:730.416pt;" coordsize="68958,60">
              <v:shape id="Shape 7228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7006" name="Group 7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5" name="Shape 7225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06" style="width:542.98pt;height:0.47998pt;position:absolute;mso-position-horizontal-relative:page;mso-position-horizontal:absolute;margin-left:34.56pt;mso-position-vertical-relative:page;margin-top:730.416pt;" coordsize="68958,60">
              <v:shape id="Shape 7226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996ACF" w:rsidRPr="00996ACF">
      <w:rPr>
        <w:rFonts w:ascii="Arial" w:eastAsia="Arial" w:hAnsi="Arial" w:cs="Arial"/>
        <w:b/>
        <w:noProof/>
        <w:color w:val="4C515A"/>
        <w:sz w:val="21"/>
      </w:rPr>
      <w:t>2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6981" name="Group 6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3" name="Shape 7223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81" style="width:542.98pt;height:0.47998pt;position:absolute;mso-position-horizontal-relative:page;mso-position-horizontal:absolute;margin-left:34.56pt;mso-position-vertical-relative:page;margin-top:730.416pt;" coordsize="68958,60">
              <v:shape id="Shape 7224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16" w:rsidRDefault="00AB3416">
      <w:pPr>
        <w:spacing w:after="0" w:line="240" w:lineRule="auto"/>
      </w:pPr>
      <w:r>
        <w:separator/>
      </w:r>
    </w:p>
  </w:footnote>
  <w:footnote w:type="continuationSeparator" w:id="0">
    <w:p w:rsidR="00AB3416" w:rsidRDefault="00AB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Responses to queries raised on Tender No. G010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</w:t>
    </w:r>
    <w:r w:rsidRPr="00BC3E10">
      <w:rPr>
        <w:rFonts w:ascii="Arial" w:eastAsia="Arial" w:hAnsi="Arial" w:cs="Arial"/>
        <w:b/>
        <w:color w:val="D01D2B"/>
        <w:sz w:val="28"/>
      </w:rPr>
      <w:t>Responses to q</w:t>
    </w:r>
    <w:r w:rsidR="00BC3E10" w:rsidRPr="00BC3E10">
      <w:rPr>
        <w:rFonts w:ascii="Arial" w:eastAsia="Arial" w:hAnsi="Arial" w:cs="Arial"/>
        <w:b/>
        <w:color w:val="D01D2B"/>
        <w:sz w:val="28"/>
      </w:rPr>
      <w:t>ueries raised on Tender No.</w:t>
    </w:r>
    <w:r w:rsidR="00BC3E10" w:rsidRPr="00BC3E10">
      <w:rPr>
        <w:b/>
        <w:sz w:val="18"/>
      </w:rPr>
      <w:t xml:space="preserve"> </w:t>
    </w:r>
    <w:r w:rsidR="00BC3E10" w:rsidRPr="00BC3E10">
      <w:rPr>
        <w:rFonts w:ascii="Arial" w:eastAsia="Arial" w:hAnsi="Arial" w:cs="Arial"/>
        <w:b/>
        <w:color w:val="D01D2B"/>
        <w:sz w:val="28"/>
      </w:rPr>
      <w:t>MC-AFA/NBO/034/ 2020</w:t>
    </w:r>
    <w:r w:rsidRPr="00BC3E10">
      <w:rPr>
        <w:rFonts w:ascii="Arial" w:eastAsia="Arial" w:hAnsi="Arial" w:cs="Arial"/>
        <w:b/>
        <w:color w:val="D01D2B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Responses to queries raised on Tender No. G010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AB"/>
    <w:rsid w:val="00005BD2"/>
    <w:rsid w:val="002F6066"/>
    <w:rsid w:val="003678AB"/>
    <w:rsid w:val="004C51D9"/>
    <w:rsid w:val="00704ABF"/>
    <w:rsid w:val="00783605"/>
    <w:rsid w:val="00917AAF"/>
    <w:rsid w:val="00996ACF"/>
    <w:rsid w:val="00A255ED"/>
    <w:rsid w:val="00AB3416"/>
    <w:rsid w:val="00BC3E10"/>
    <w:rsid w:val="00C75DD2"/>
    <w:rsid w:val="00D44305"/>
    <w:rsid w:val="00E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95ED6"/>
  <w15:docId w15:val="{7A12F284-17ED-4E40-A5CA-B8014076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Tissier</dc:creator>
  <cp:keywords/>
  <cp:lastModifiedBy>dgitimu</cp:lastModifiedBy>
  <cp:revision>8</cp:revision>
  <dcterms:created xsi:type="dcterms:W3CDTF">2020-07-20T11:36:00Z</dcterms:created>
  <dcterms:modified xsi:type="dcterms:W3CDTF">2020-08-25T17:12:00Z</dcterms:modified>
</cp:coreProperties>
</file>