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55E4EC33" w:rsidR="00456A21" w:rsidRPr="00E17946" w:rsidRDefault="00C92264" w:rsidP="0007255B">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07255B" w:rsidRPr="0007255B">
              <w:rPr>
                <w:rFonts w:ascii="Times New Roman" w:hAnsi="Times New Roman" w:cs="Times New Roman"/>
                <w:b/>
                <w:sz w:val="22"/>
                <w:szCs w:val="22"/>
                <w:lang w:val="en-US"/>
              </w:rPr>
              <w:t>Final Ecosystem Impact Review and Program Evaluation</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27038101"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07255B">
              <w:rPr>
                <w:rFonts w:ascii="Times New Roman" w:hAnsi="Times New Roman" w:cs="Times New Roman"/>
                <w:b/>
                <w:sz w:val="22"/>
                <w:szCs w:val="22"/>
              </w:rPr>
              <w:t>MC-AFA/NBO/034</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275F6D9F"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52E95">
              <w:rPr>
                <w:rFonts w:ascii="Times New Roman" w:hAnsi="Times New Roman" w:cs="Times New Roman"/>
                <w:color w:val="auto"/>
                <w:sz w:val="22"/>
                <w:szCs w:val="22"/>
              </w:rPr>
              <w:t xml:space="preserve">Nairobi, Kenya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0DFA5717" w:rsidR="00456A21" w:rsidRPr="00E17946" w:rsidRDefault="00916CC7" w:rsidP="0007255B">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AgriFin Program is seeking for a </w:t>
            </w:r>
            <w:r w:rsidR="005C4572">
              <w:rPr>
                <w:rFonts w:ascii="Times New Roman" w:hAnsi="Times New Roman" w:cs="Times New Roman"/>
                <w:color w:val="000000"/>
                <w:sz w:val="22"/>
                <w:szCs w:val="22"/>
              </w:rPr>
              <w:t xml:space="preserve">firm </w:t>
            </w:r>
            <w:r w:rsidR="005C4572">
              <w:rPr>
                <w:rFonts w:ascii="Times New Roman" w:hAnsi="Times New Roman" w:cs="Times New Roman"/>
                <w:color w:val="000000"/>
                <w:sz w:val="22"/>
                <w:szCs w:val="22"/>
                <w:lang w:val="en-US"/>
              </w:rPr>
              <w:t xml:space="preserve">to </w:t>
            </w:r>
            <w:r w:rsidR="0007255B">
              <w:rPr>
                <w:rFonts w:ascii="Times New Roman" w:hAnsi="Times New Roman" w:cs="Times New Roman"/>
                <w:color w:val="000000"/>
                <w:sz w:val="22"/>
                <w:szCs w:val="22"/>
                <w:lang w:val="en-US"/>
              </w:rPr>
              <w:t xml:space="preserve">conduct a final ecosystem review and program evaluation </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25936107" w:rsidR="00456A21" w:rsidRPr="00FD5B53" w:rsidRDefault="008D70FC">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2</w:t>
            </w:r>
            <w:r w:rsidR="00EF257D">
              <w:rPr>
                <w:rFonts w:ascii="Times New Roman" w:hAnsi="Times New Roman" w:cs="Times New Roman"/>
                <w:b/>
                <w:color w:val="auto"/>
                <w:sz w:val="22"/>
                <w:szCs w:val="22"/>
              </w:rPr>
              <w:t>0</w:t>
            </w:r>
            <w:r w:rsidR="00EF257D" w:rsidRPr="00EF257D">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July</w:t>
            </w:r>
            <w:r w:rsidR="00EF257D">
              <w:rPr>
                <w:rFonts w:ascii="Times New Roman" w:hAnsi="Times New Roman" w:cs="Times New Roman"/>
                <w:b/>
                <w:color w:val="auto"/>
                <w:sz w:val="22"/>
                <w:szCs w:val="22"/>
              </w:rPr>
              <w:t xml:space="preserve">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61549281" w:rsidR="00E17946" w:rsidRPr="00E17946" w:rsidRDefault="004805D0" w:rsidP="00E17946">
            <w:pPr>
              <w:widowControl w:val="0"/>
              <w:spacing w:after="0" w:line="240" w:lineRule="auto"/>
              <w:rPr>
                <w:rFonts w:ascii="Times New Roman" w:hAnsi="Times New Roman" w:cs="Times New Roman"/>
                <w:b/>
                <w:color w:val="auto"/>
                <w:sz w:val="22"/>
                <w:szCs w:val="22"/>
                <w:u w:val="single"/>
              </w:rPr>
            </w:pPr>
            <w:hyperlink r:id="rId7" w:tgtFrame="_blank" w:history="1">
              <w:r w:rsidRPr="004805D0">
                <w:rPr>
                  <w:rStyle w:val="Hyperlink"/>
                  <w:rFonts w:ascii="Times New Roman" w:hAnsi="Times New Roman" w:cs="Times New Roman"/>
                  <w:b/>
                  <w:sz w:val="22"/>
                  <w:szCs w:val="22"/>
                </w:rPr>
                <w:t>www.mercycorpsagrifin.org</w:t>
              </w:r>
            </w:hyperlink>
            <w:r w:rsidR="00E73DF6">
              <w:rPr>
                <w:rFonts w:ascii="Times New Roman" w:hAnsi="Times New Roman" w:cs="Times New Roman"/>
                <w:b/>
                <w:color w:val="auto"/>
                <w:sz w:val="22"/>
                <w:szCs w:val="22"/>
                <w:u w:val="single"/>
              </w:rPr>
              <w:t xml:space="preserve"> , </w:t>
            </w:r>
            <w:hyperlink r:id="rId8" w:history="1">
              <w:r w:rsidR="00E73DF6" w:rsidRPr="00E73DF6">
                <w:rPr>
                  <w:rStyle w:val="Hyperlink"/>
                  <w:rFonts w:ascii="Times New Roman" w:hAnsi="Times New Roman" w:cs="Times New Roman"/>
                  <w:b/>
                  <w:sz w:val="22"/>
                  <w:szCs w:val="22"/>
                </w:rPr>
                <w:t>https://www.mercycorps.org/tender</w:t>
              </w:r>
            </w:hyperlink>
            <w:r w:rsidR="00E73DF6">
              <w:rPr>
                <w:rFonts w:ascii="Times New Roman" w:hAnsi="Times New Roman" w:cs="Times New Roman"/>
                <w:b/>
                <w:color w:val="auto"/>
                <w:sz w:val="22"/>
                <w:szCs w:val="22"/>
                <w:u w:val="single"/>
              </w:rPr>
              <w:t xml:space="preserve"> or </w:t>
            </w:r>
            <w:r w:rsidR="00E17946" w:rsidRPr="00E17946">
              <w:rPr>
                <w:rFonts w:ascii="Times New Roman" w:hAnsi="Times New Roman" w:cs="Times New Roman"/>
                <w:b/>
                <w:color w:val="auto"/>
                <w:sz w:val="22"/>
                <w:szCs w:val="22"/>
                <w:u w:val="single"/>
              </w:rPr>
              <w:t>Interested bidders can submit a request for the tender documents to this email address ‘</w:t>
            </w:r>
            <w:hyperlink r:id="rId9"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003F8903" w:rsidR="00456A21" w:rsidRPr="00FD5B53" w:rsidRDefault="008D70FC">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7</w:t>
            </w:r>
            <w:r w:rsidRPr="008D70FC">
              <w:rPr>
                <w:rFonts w:ascii="Times New Roman" w:hAnsi="Times New Roman" w:cs="Times New Roman"/>
                <w:b/>
                <w:sz w:val="22"/>
                <w:szCs w:val="22"/>
                <w:vertAlign w:val="superscript"/>
              </w:rPr>
              <w:t>th</w:t>
            </w:r>
            <w:r>
              <w:rPr>
                <w:rFonts w:ascii="Times New Roman" w:hAnsi="Times New Roman" w:cs="Times New Roman"/>
                <w:b/>
                <w:sz w:val="22"/>
                <w:szCs w:val="22"/>
              </w:rPr>
              <w:t xml:space="preserve"> August </w:t>
            </w:r>
            <w:r w:rsidR="00EF257D">
              <w:rPr>
                <w:rFonts w:ascii="Times New Roman" w:hAnsi="Times New Roman" w:cs="Times New Roman"/>
                <w:b/>
                <w:sz w:val="22"/>
                <w:szCs w:val="22"/>
              </w:rPr>
              <w:t xml:space="preserve">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10"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0E347551" w:rsidR="00456A21" w:rsidRPr="00F2743B" w:rsidRDefault="00C92264" w:rsidP="004805D0">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1" w:tgtFrame="_blank" w:history="1">
              <w:r w:rsidR="004805D0" w:rsidRPr="004805D0">
                <w:rPr>
                  <w:rStyle w:val="Hyperlink"/>
                  <w:rFonts w:ascii="Times New Roman" w:hAnsi="Times New Roman" w:cs="Times New Roman"/>
                  <w:sz w:val="22"/>
                  <w:szCs w:val="22"/>
                </w:rPr>
                <w:t>www.mercycorpsagrifin.org</w:t>
              </w:r>
            </w:hyperlink>
            <w:r w:rsidR="004805D0" w:rsidRPr="004805D0">
              <w:rPr>
                <w:rFonts w:ascii="Times New Roman" w:hAnsi="Times New Roman" w:cs="Times New Roman"/>
                <w:color w:val="auto"/>
                <w:sz w:val="22"/>
                <w:szCs w:val="22"/>
                <w:u w:val="single"/>
              </w:rPr>
              <w:t xml:space="preserve"> </w:t>
            </w:r>
            <w:r w:rsidR="00E17946">
              <w:rPr>
                <w:color w:val="0000FF" w:themeColor="hyperlink"/>
                <w:u w:val="single"/>
              </w:rPr>
              <w:t xml:space="preserve">or </w:t>
            </w:r>
            <w:hyperlink r:id="rId12" w:history="1">
              <w:r w:rsidR="00E73DF6" w:rsidRPr="00E73DF6">
                <w:rPr>
                  <w:rStyle w:val="Hyperlink"/>
                </w:rPr>
                <w:t>https://www.mercycorps.org/tender</w:t>
              </w:r>
            </w:hyperlink>
            <w:r w:rsidR="00E73DF6">
              <w:rPr>
                <w:color w:val="0000FF" w:themeColor="hyperlink"/>
                <w:u w:val="single"/>
              </w:rPr>
              <w:t xml:space="preserve"> </w:t>
            </w:r>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3BA82A53" w:rsidR="00E17946" w:rsidRPr="00E17946" w:rsidRDefault="00472CC0"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24</w:t>
            </w:r>
            <w:r w:rsidRPr="00472CC0">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July</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09D2EEF9" w:rsidR="00456A21" w:rsidRPr="00E17946" w:rsidRDefault="00472CC0" w:rsidP="004805D0">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28</w:t>
            </w:r>
            <w:r w:rsidRPr="00472CC0">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July</w:t>
            </w:r>
            <w:r w:rsidR="00EF257D">
              <w:rPr>
                <w:rFonts w:ascii="Times New Roman" w:hAnsi="Times New Roman" w:cs="Times New Roman"/>
                <w:b/>
                <w:color w:val="auto"/>
                <w:sz w:val="22"/>
                <w:szCs w:val="22"/>
              </w:rPr>
              <w:t xml:space="preserve"> </w:t>
            </w:r>
            <w:r w:rsidR="00E17946" w:rsidRPr="00E17946">
              <w:rPr>
                <w:rFonts w:ascii="Times New Roman" w:hAnsi="Times New Roman" w:cs="Times New Roman"/>
                <w:b/>
                <w:color w:val="auto"/>
                <w:sz w:val="22"/>
                <w:szCs w:val="22"/>
              </w:rPr>
              <w:t>2020</w:t>
            </w:r>
            <w:r w:rsidR="004805D0">
              <w:rPr>
                <w:rFonts w:ascii="Times New Roman" w:hAnsi="Times New Roman" w:cs="Times New Roman"/>
                <w:b/>
                <w:color w:val="auto"/>
                <w:sz w:val="22"/>
                <w:szCs w:val="22"/>
              </w:rPr>
              <w:t xml:space="preserve"> </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5F6F3F7C" w:rsidR="00456A21" w:rsidRPr="00F2743B" w:rsidRDefault="00C92264" w:rsidP="004805D0">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r w:rsidR="00E73DF6" w:rsidRPr="000013DD">
              <w:rPr>
                <w:rFonts w:ascii="Times New Roman" w:hAnsi="Times New Roman" w:cs="Times New Roman"/>
                <w:b/>
                <w:i/>
                <w:iCs/>
                <w:color w:val="auto"/>
                <w:sz w:val="22"/>
                <w:szCs w:val="22"/>
              </w:rPr>
              <w:t>All prospective bidders will access consolidated questions and answers on these</w:t>
            </w:r>
            <w:r w:rsidR="00E73DF6">
              <w:rPr>
                <w:rFonts w:ascii="Times New Roman" w:hAnsi="Times New Roman" w:cs="Times New Roman"/>
                <w:i/>
                <w:iCs/>
                <w:color w:val="auto"/>
                <w:sz w:val="22"/>
                <w:szCs w:val="22"/>
              </w:rPr>
              <w:t xml:space="preserve"> </w:t>
            </w:r>
            <w:r w:rsidR="00E73DF6" w:rsidRPr="00E73DF6">
              <w:rPr>
                <w:rFonts w:ascii="Times New Roman" w:hAnsi="Times New Roman" w:cs="Times New Roman"/>
                <w:i/>
                <w:iCs/>
                <w:color w:val="auto"/>
                <w:sz w:val="22"/>
                <w:szCs w:val="22"/>
              </w:rPr>
              <w:t xml:space="preserve"> </w:t>
            </w:r>
            <w:r w:rsidR="00E73DF6" w:rsidRPr="000013DD">
              <w:rPr>
                <w:rFonts w:ascii="Times New Roman" w:hAnsi="Times New Roman" w:cs="Times New Roman"/>
                <w:b/>
                <w:i/>
                <w:iCs/>
                <w:color w:val="auto"/>
                <w:sz w:val="22"/>
                <w:szCs w:val="22"/>
              </w:rPr>
              <w:t>websites</w:t>
            </w:r>
            <w:r w:rsidR="00E73DF6">
              <w:rPr>
                <w:rFonts w:ascii="Times New Roman" w:hAnsi="Times New Roman" w:cs="Times New Roman"/>
                <w:i/>
                <w:iCs/>
                <w:color w:val="auto"/>
                <w:sz w:val="22"/>
                <w:szCs w:val="22"/>
              </w:rPr>
              <w:t xml:space="preserve"> </w:t>
            </w:r>
            <w:hyperlink r:id="rId13" w:history="1">
              <w:r w:rsidR="00E73DF6" w:rsidRPr="00E73DF6">
                <w:rPr>
                  <w:rStyle w:val="Hyperlink"/>
                  <w:rFonts w:ascii="Times New Roman" w:hAnsi="Times New Roman" w:cs="Times New Roman"/>
                  <w:i/>
                  <w:iCs/>
                  <w:sz w:val="22"/>
                  <w:szCs w:val="22"/>
                </w:rPr>
                <w:t>https://www.mercycorps.org/tender</w:t>
              </w:r>
            </w:hyperlink>
            <w:r w:rsidR="00E73DF6">
              <w:rPr>
                <w:rFonts w:ascii="Times New Roman" w:hAnsi="Times New Roman" w:cs="Times New Roman"/>
                <w:i/>
                <w:iCs/>
                <w:color w:val="auto"/>
                <w:sz w:val="22"/>
                <w:szCs w:val="22"/>
              </w:rPr>
              <w:t xml:space="preserve"> and</w:t>
            </w:r>
            <w:hyperlink r:id="rId14" w:tgtFrame="_blank" w:history="1">
              <w:r w:rsidR="004805D0" w:rsidRPr="004805D0">
                <w:rPr>
                  <w:rStyle w:val="Hyperlink"/>
                  <w:rFonts w:ascii="Times New Roman" w:hAnsi="Times New Roman" w:cs="Times New Roman"/>
                  <w:i/>
                  <w:iCs/>
                  <w:sz w:val="22"/>
                  <w:szCs w:val="22"/>
                </w:rPr>
                <w:t>www.mercycorpsagrifin.org</w:t>
              </w:r>
            </w:hyperlink>
            <w:r w:rsidR="00E73DF6">
              <w:rPr>
                <w:rFonts w:ascii="Times New Roman" w:hAnsi="Times New Roman" w:cs="Times New Roman"/>
                <w:i/>
                <w:iCs/>
                <w:color w:val="auto"/>
                <w:sz w:val="22"/>
                <w:szCs w:val="22"/>
              </w:rPr>
              <w:t xml:space="preserve"> </w:t>
            </w:r>
            <w:r w:rsidR="000013DD" w:rsidRPr="000013DD">
              <w:rPr>
                <w:rFonts w:ascii="Times New Roman" w:hAnsi="Times New Roman" w:cs="Times New Roman"/>
                <w:b/>
                <w:i/>
                <w:iCs/>
                <w:color w:val="auto"/>
                <w:sz w:val="22"/>
                <w:szCs w:val="22"/>
              </w:rPr>
              <w:t>by 28</w:t>
            </w:r>
            <w:r w:rsidR="000013DD" w:rsidRPr="000013DD">
              <w:rPr>
                <w:rFonts w:ascii="Times New Roman" w:hAnsi="Times New Roman" w:cs="Times New Roman"/>
                <w:b/>
                <w:i/>
                <w:iCs/>
                <w:color w:val="auto"/>
                <w:sz w:val="22"/>
                <w:szCs w:val="22"/>
                <w:vertAlign w:val="superscript"/>
              </w:rPr>
              <w:t>th</w:t>
            </w:r>
            <w:r w:rsidR="000013DD" w:rsidRPr="000013DD">
              <w:rPr>
                <w:rFonts w:ascii="Times New Roman" w:hAnsi="Times New Roman" w:cs="Times New Roman"/>
                <w:b/>
                <w:i/>
                <w:iCs/>
                <w:color w:val="auto"/>
                <w:sz w:val="22"/>
                <w:szCs w:val="22"/>
              </w:rPr>
              <w:t xml:space="preserve"> July 2020 at 5.00 PM pacific time</w:t>
            </w:r>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bookmarkStart w:id="2" w:name="_GoBack"/>
            <w:bookmarkEnd w:id="2"/>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Supplier Information Form</w:t>
            </w:r>
          </w:p>
          <w:p w14:paraId="49C2EF5E" w14:textId="5E963E65"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Scope of </w:t>
            </w:r>
            <w:r w:rsidR="003246D4">
              <w:rPr>
                <w:rFonts w:ascii="Times New Roman" w:hAnsi="Times New Roman" w:cs="Times New Roman"/>
                <w:sz w:val="22"/>
                <w:szCs w:val="22"/>
              </w:rPr>
              <w:t>Work</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rsidP="004F649D">
      <w:pPr>
        <w:widowControl w:val="0"/>
        <w:numPr>
          <w:ilvl w:val="0"/>
          <w:numId w:val="9"/>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B34C17">
      <w:pPr>
        <w:widowControl w:val="0"/>
        <w:spacing w:after="0" w:line="240" w:lineRule="auto"/>
        <w:jc w:val="center"/>
        <w:rPr>
          <w:rFonts w:ascii="Times New Roman" w:eastAsia="Times New Roman" w:hAnsi="Times New Roman" w:cs="Times New Roman"/>
          <w:color w:val="000000"/>
          <w:sz w:val="22"/>
          <w:szCs w:val="22"/>
        </w:rPr>
      </w:pPr>
      <w:hyperlink r:id="rId15">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4F649D">
      <w:pPr>
        <w:pStyle w:val="Heading1"/>
        <w:numPr>
          <w:ilvl w:val="0"/>
          <w:numId w:val="10"/>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w:t>
            </w:r>
            <w:proofErr w:type="gramStart"/>
            <w:r w:rsidRPr="00F2743B">
              <w:rPr>
                <w:rFonts w:ascii="Times New Roman" w:eastAsia="Times New Roman" w:hAnsi="Times New Roman" w:cs="Times New Roman"/>
                <w:color w:val="auto"/>
                <w:sz w:val="22"/>
                <w:szCs w:val="22"/>
              </w:rPr>
              <w:t>company(</w:t>
            </w:r>
            <w:proofErr w:type="gramEnd"/>
            <w:r w:rsidRPr="00F2743B">
              <w:rPr>
                <w:rFonts w:ascii="Times New Roman" w:eastAsia="Times New Roman" w:hAnsi="Times New Roman" w:cs="Times New Roman"/>
                <w:color w:val="auto"/>
                <w:sz w:val="22"/>
                <w:szCs w:val="22"/>
              </w:rPr>
              <w:t>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5C9562CA" w14:textId="77777777" w:rsidR="00472CC0" w:rsidRP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be an eligible business under the applicable laws and regulations in their countries of operations</w:t>
            </w:r>
          </w:p>
          <w:p w14:paraId="69FBC1C3" w14:textId="77777777" w:rsidR="00472CC0" w:rsidRP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be in good standing with the taxation or legal authorities</w:t>
            </w:r>
          </w:p>
          <w:p w14:paraId="28A161BB" w14:textId="7A4542A2" w:rsidR="00472CC0" w:rsidRDefault="00472CC0" w:rsidP="004F649D">
            <w:pPr>
              <w:pStyle w:val="ListParagraph"/>
              <w:numPr>
                <w:ilvl w:val="0"/>
                <w:numId w:val="14"/>
              </w:numPr>
              <w:spacing w:line="331" w:lineRule="auto"/>
              <w:rPr>
                <w:rFonts w:ascii="Times New Roman" w:eastAsia="Times New Roman" w:hAnsi="Times New Roman" w:cs="Times New Roman"/>
                <w:lang w:val="en"/>
              </w:rPr>
            </w:pPr>
            <w:r w:rsidRPr="00472CC0">
              <w:rPr>
                <w:rFonts w:ascii="Times New Roman" w:eastAsia="Times New Roman" w:hAnsi="Times New Roman" w:cs="Times New Roman"/>
                <w:lang w:val="en"/>
              </w:rPr>
              <w:t>The firm must have a satisfactory record of performance and business ethics based on information available to Mercy Corps</w:t>
            </w:r>
          </w:p>
          <w:p w14:paraId="25654B83" w14:textId="3703D223" w:rsidR="00456A21" w:rsidRPr="00F0284E" w:rsidRDefault="00456A21" w:rsidP="00472CC0">
            <w:pPr>
              <w:pStyle w:val="ListParagraph"/>
              <w:spacing w:line="331" w:lineRule="auto"/>
              <w:rPr>
                <w:rFonts w:ascii="Times New Roman" w:eastAsia="Times New Roman" w:hAnsi="Times New Roman" w:cs="Times New Roman"/>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36D7635A" w:rsidR="00485A23"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Business Registration Documents</w:t>
            </w:r>
          </w:p>
          <w:p w14:paraId="000B3A6F" w14:textId="6F239209"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Articles /Memorandum of Association </w:t>
            </w:r>
          </w:p>
          <w:p w14:paraId="2618FE0C" w14:textId="77777777"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4F649D">
            <w:pPr>
              <w:pStyle w:val="ListParagraph"/>
              <w:widowControl w:val="0"/>
              <w:numPr>
                <w:ilvl w:val="0"/>
                <w:numId w:val="15"/>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31872FB4" w:rsidR="00672599" w:rsidRPr="00672599" w:rsidRDefault="00672599" w:rsidP="004F649D">
            <w:pPr>
              <w:numPr>
                <w:ilvl w:val="0"/>
                <w:numId w:val="13"/>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p>
          <w:p w14:paraId="181FB3C9" w14:textId="77777777" w:rsidR="00F0284E" w:rsidRPr="00432260" w:rsidRDefault="00880290"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59DB8B78"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and </w:t>
            </w:r>
            <w:r w:rsidR="00672599" w:rsidRPr="00672599">
              <w:rPr>
                <w:rFonts w:ascii="Times New Roman" w:hAnsi="Times New Roman" w:cs="Times New Roman"/>
                <w:color w:val="auto"/>
              </w:rPr>
              <w:t>CV</w:t>
            </w:r>
            <w:r w:rsidR="00672599">
              <w:rPr>
                <w:rFonts w:ascii="Times New Roman" w:hAnsi="Times New Roman" w:cs="Times New Roman"/>
                <w:color w:val="auto"/>
              </w:rPr>
              <w:t>s</w:t>
            </w:r>
            <w:r w:rsidR="00672599" w:rsidRPr="00672599">
              <w:rPr>
                <w:rFonts w:ascii="Times New Roman" w:hAnsi="Times New Roman" w:cs="Times New Roman"/>
                <w:color w:val="auto"/>
              </w:rPr>
              <w:t xml:space="preserve"> of technical staff including their role, qualification and experience</w:t>
            </w:r>
          </w:p>
          <w:p w14:paraId="51C869B1" w14:textId="2E89075F" w:rsidR="00F0284E" w:rsidRPr="00432260"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4F649D">
            <w:pPr>
              <w:numPr>
                <w:ilvl w:val="0"/>
                <w:numId w:val="13"/>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10C3C811" w14:textId="77777777" w:rsidR="00886E74" w:rsidRDefault="00886E74">
            <w:pPr>
              <w:widowControl w:val="0"/>
              <w:spacing w:before="200" w:after="160" w:line="240" w:lineRule="auto"/>
              <w:rPr>
                <w:rFonts w:ascii="Times New Roman" w:eastAsia="Times New Roman" w:hAnsi="Times New Roman" w:cs="Times New Roman"/>
                <w:b/>
                <w:color w:val="000000"/>
                <w:sz w:val="22"/>
                <w:szCs w:val="22"/>
              </w:rPr>
            </w:pP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No profit, fees, taxes, or additional costs can be added after contract signing. Offerors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4E1A372A"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672599">
              <w:rPr>
                <w:rFonts w:ascii="Times New Roman" w:eastAsia="Times New Roman" w:hAnsi="Times New Roman" w:cs="Times New Roman"/>
                <w:color w:val="000000"/>
                <w:sz w:val="22"/>
                <w:szCs w:val="22"/>
              </w:rPr>
              <w:t xml:space="preserve">USD </w:t>
            </w:r>
          </w:p>
          <w:p w14:paraId="408EB8E2" w14:textId="5EC318E7" w:rsidR="00456A21" w:rsidRPr="00FD5B53" w:rsidRDefault="00672599" w:rsidP="00472CC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USD </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03244">
              <w:trPr>
                <w:trHeight w:val="340"/>
              </w:trPr>
              <w:tc>
                <w:tcPr>
                  <w:tcW w:w="6800" w:type="dxa"/>
                  <w:vMerge/>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auto"/>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3D367D1" w14:textId="41DEF404" w:rsidR="00672599" w:rsidRPr="00886E74" w:rsidRDefault="00903244" w:rsidP="002F5488">
                  <w:pPr>
                    <w:widowControl w:val="0"/>
                    <w:spacing w:before="240" w:after="160" w:line="240" w:lineRule="auto"/>
                    <w:rPr>
                      <w:b/>
                      <w:bCs/>
                      <w:color w:val="auto"/>
                      <w:sz w:val="22"/>
                      <w:szCs w:val="22"/>
                    </w:rPr>
                  </w:pPr>
                  <w:r w:rsidRPr="00903244">
                    <w:rPr>
                      <w:b/>
                      <w:bCs/>
                      <w:color w:val="auto"/>
                      <w:sz w:val="22"/>
                      <w:szCs w:val="22"/>
                    </w:rPr>
                    <w:t>Methodology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042889B" w14:textId="3AEBFF6A" w:rsidR="003738EE" w:rsidRPr="00875A61" w:rsidRDefault="003738EE">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903244" w:rsidRPr="00875A61" w14:paraId="02556B30"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56F294F" w14:textId="4DD560A8" w:rsidR="00903244" w:rsidRPr="002F5488" w:rsidRDefault="00903244" w:rsidP="00903244">
                  <w:pPr>
                    <w:widowControl w:val="0"/>
                    <w:spacing w:before="240" w:after="160" w:line="240" w:lineRule="auto"/>
                    <w:rPr>
                      <w:bCs/>
                      <w:color w:val="auto"/>
                      <w:sz w:val="22"/>
                      <w:szCs w:val="22"/>
                    </w:rPr>
                  </w:pPr>
                  <w:r w:rsidRPr="00A759AB">
                    <w:rPr>
                      <w:sz w:val="22"/>
                      <w:szCs w:val="22"/>
                    </w:rPr>
                    <w:t>The proposal outlines an approach that is tailored to achieving the objectives of the assignment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90A2CD" w14:textId="4F529618" w:rsidR="00903244" w:rsidRDefault="00903244" w:rsidP="00903244">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BC269EA"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C660EDF"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5B1F5AFF"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2CAA1E1" w14:textId="0DE9DF9B" w:rsidR="00903244" w:rsidRPr="002F5488" w:rsidRDefault="00903244" w:rsidP="00903244">
                  <w:pPr>
                    <w:widowControl w:val="0"/>
                    <w:spacing w:before="240" w:after="160" w:line="240" w:lineRule="auto"/>
                    <w:rPr>
                      <w:bCs/>
                      <w:color w:val="auto"/>
                      <w:sz w:val="22"/>
                      <w:szCs w:val="22"/>
                    </w:rPr>
                  </w:pPr>
                  <w:r w:rsidRPr="00A759AB">
                    <w:rPr>
                      <w:sz w:val="22"/>
                      <w:szCs w:val="22"/>
                    </w:rPr>
                    <w:t>The proposal indicates commitment to quality of data collected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B0D8B4" w14:textId="0F5204F2" w:rsidR="00903244" w:rsidRDefault="00903244" w:rsidP="00903244">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576526D"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744F2B1"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5B341CFE"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C472982" w14:textId="6033F73A" w:rsidR="00903244" w:rsidRPr="002F5488" w:rsidRDefault="00903244" w:rsidP="00903244">
                  <w:pPr>
                    <w:widowControl w:val="0"/>
                    <w:spacing w:before="240" w:after="160" w:line="240" w:lineRule="auto"/>
                    <w:rPr>
                      <w:bCs/>
                      <w:color w:val="auto"/>
                      <w:sz w:val="22"/>
                      <w:szCs w:val="22"/>
                    </w:rPr>
                  </w:pPr>
                  <w:r w:rsidRPr="00A759AB">
                    <w:rPr>
                      <w:sz w:val="22"/>
                      <w:szCs w:val="22"/>
                    </w:rPr>
                    <w:t>The proposal indicates analysis procedures that are to be used in developing the insights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11030DA" w14:textId="4DD8F2C3" w:rsidR="00903244" w:rsidRDefault="00903244" w:rsidP="00903244">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52EDFC2"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24AD0AC"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148F3659"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BA7A405" w14:textId="44A05592" w:rsidR="00903244" w:rsidRPr="002F5488" w:rsidRDefault="00903244" w:rsidP="00903244">
                  <w:pPr>
                    <w:widowControl w:val="0"/>
                    <w:spacing w:before="240" w:after="160" w:line="240" w:lineRule="auto"/>
                    <w:rPr>
                      <w:bCs/>
                      <w:color w:val="auto"/>
                      <w:sz w:val="22"/>
                      <w:szCs w:val="22"/>
                    </w:rPr>
                  </w:pPr>
                  <w:r w:rsidRPr="00A759AB">
                    <w:rPr>
                      <w:sz w:val="22"/>
                      <w:szCs w:val="22"/>
                    </w:rPr>
                    <w:t>The proposal is in line with the expected timelines for delivering the project</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94C324E" w14:textId="239E97B8" w:rsidR="00903244" w:rsidRDefault="00903244" w:rsidP="00903244">
                  <w:pPr>
                    <w:widowControl w:val="0"/>
                    <w:spacing w:after="160" w:line="288" w:lineRule="auto"/>
                    <w:ind w:left="-30"/>
                    <w:jc w:val="center"/>
                    <w:rPr>
                      <w:rFonts w:eastAsia="Times New Roman"/>
                      <w:color w:val="auto"/>
                      <w:sz w:val="22"/>
                      <w:szCs w:val="22"/>
                    </w:rPr>
                  </w:pPr>
                  <w:r w:rsidRPr="004A4115">
                    <w:rPr>
                      <w:rFonts w:eastAsia="Times New Roman"/>
                      <w:color w:val="auto"/>
                      <w:sz w:val="22"/>
                      <w:szCs w:val="22"/>
                    </w:rPr>
                    <w:t>10%</w:t>
                  </w: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B328FC3"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DC1F2DE"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322994B9"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3D442E7" w14:textId="21440E01" w:rsidR="00903244" w:rsidRPr="00886E74" w:rsidRDefault="00903244" w:rsidP="00903244">
                  <w:pPr>
                    <w:widowControl w:val="0"/>
                    <w:spacing w:before="240" w:after="160" w:line="240" w:lineRule="auto"/>
                    <w:rPr>
                      <w:b/>
                      <w:bCs/>
                      <w:color w:val="auto"/>
                      <w:sz w:val="22"/>
                      <w:szCs w:val="22"/>
                    </w:rPr>
                  </w:pPr>
                  <w:r w:rsidRPr="00903244">
                    <w:rPr>
                      <w:b/>
                      <w:bCs/>
                      <w:color w:val="auto"/>
                      <w:sz w:val="22"/>
                      <w:szCs w:val="22"/>
                    </w:rPr>
                    <w:t>Team Knowledge and Experience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1174434" w14:textId="55FF9249" w:rsidR="00903244" w:rsidRDefault="00903244"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4A03FC7"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2BB9AAC"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1D808018"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E8D313A" w14:textId="08FACA60" w:rsidR="00903244" w:rsidRPr="002F5488" w:rsidRDefault="00903244" w:rsidP="00903244">
                  <w:pPr>
                    <w:widowControl w:val="0"/>
                    <w:spacing w:before="240" w:after="160" w:line="240" w:lineRule="auto"/>
                    <w:rPr>
                      <w:bCs/>
                      <w:color w:val="auto"/>
                      <w:sz w:val="22"/>
                      <w:szCs w:val="22"/>
                    </w:rPr>
                  </w:pPr>
                  <w:r w:rsidRPr="00A759AB">
                    <w:rPr>
                      <w:sz w:val="22"/>
                      <w:szCs w:val="22"/>
                    </w:rPr>
                    <w:t>The proposal firm/consultant has the necessary qualifications to conduct the assignment</w:t>
                  </w:r>
                </w:p>
              </w:tc>
              <w:tc>
                <w:tcPr>
                  <w:tcW w:w="975" w:type="dxa"/>
                  <w:tcBorders>
                    <w:top w:val="single" w:sz="4" w:space="0" w:color="auto"/>
                    <w:left w:val="single" w:sz="4" w:space="0" w:color="auto"/>
                    <w:bottom w:val="single" w:sz="4" w:space="0" w:color="000000"/>
                    <w:right w:val="single" w:sz="4" w:space="0" w:color="000000"/>
                  </w:tcBorders>
                  <w:tcMar>
                    <w:top w:w="0" w:type="dxa"/>
                    <w:left w:w="120" w:type="dxa"/>
                    <w:bottom w:w="0" w:type="dxa"/>
                    <w:right w:w="120" w:type="dxa"/>
                  </w:tcMar>
                  <w:vAlign w:val="center"/>
                </w:tcPr>
                <w:p w14:paraId="69A67162" w14:textId="2E212AE0" w:rsidR="00903244"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55544A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71B3FF8" w14:textId="18326DCA" w:rsidR="00903244" w:rsidRPr="00875A61" w:rsidRDefault="00903244" w:rsidP="00903244">
                  <w:pPr>
                    <w:widowControl w:val="0"/>
                    <w:spacing w:before="240" w:after="160" w:line="240" w:lineRule="auto"/>
                    <w:rPr>
                      <w:color w:val="auto"/>
                      <w:sz w:val="22"/>
                      <w:szCs w:val="22"/>
                    </w:rPr>
                  </w:pPr>
                  <w:r w:rsidRPr="00A759AB">
                    <w:rPr>
                      <w:sz w:val="22"/>
                      <w:szCs w:val="22"/>
                    </w:rPr>
                    <w:t>The firm/consultant have the necessary project experience to execute the work</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B721324" w14:textId="669862E7" w:rsidR="00903244" w:rsidRPr="00875A61"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6F6113D3" w14:textId="77777777" w:rsidTr="00903244">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704DF58" w14:textId="61AA989A" w:rsidR="00903244" w:rsidRPr="00875A61" w:rsidRDefault="00903244" w:rsidP="00903244">
                  <w:pPr>
                    <w:widowControl w:val="0"/>
                    <w:spacing w:before="240" w:after="160" w:line="240" w:lineRule="auto"/>
                    <w:rPr>
                      <w:color w:val="auto"/>
                      <w:sz w:val="22"/>
                      <w:szCs w:val="22"/>
                    </w:rPr>
                  </w:pPr>
                  <w:r w:rsidRPr="00A759AB">
                    <w:rPr>
                      <w:sz w:val="22"/>
                      <w:szCs w:val="22"/>
                    </w:rPr>
                    <w:t>The firm/consultant has proof of handling projects with similar budgets before indicating capacity and ability</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0F918CB" w14:textId="02BE11C6" w:rsidR="00903244" w:rsidRPr="004A4115"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391E2E"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479D0E"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1BE8B7D1"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DFE1FE8" w14:textId="4922CD9E" w:rsidR="00903244" w:rsidRPr="00903244" w:rsidRDefault="00903244" w:rsidP="00903244">
                  <w:pPr>
                    <w:widowControl w:val="0"/>
                    <w:spacing w:before="240" w:after="160" w:line="240" w:lineRule="auto"/>
                    <w:rPr>
                      <w:b/>
                      <w:color w:val="auto"/>
                      <w:sz w:val="22"/>
                      <w:szCs w:val="22"/>
                    </w:rPr>
                  </w:pPr>
                  <w:r w:rsidRPr="00903244">
                    <w:rPr>
                      <w:b/>
                      <w:color w:val="auto"/>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1AF49B" w14:textId="77777777" w:rsidR="00903244" w:rsidRPr="004A4115" w:rsidRDefault="00903244"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269262"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CA9CA7"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0338F027"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DCF2BDF" w14:textId="1C7C7D33" w:rsidR="00903244" w:rsidRPr="00875A61" w:rsidRDefault="00903244" w:rsidP="00903244">
                  <w:pPr>
                    <w:widowControl w:val="0"/>
                    <w:spacing w:before="240" w:after="160" w:line="240" w:lineRule="auto"/>
                    <w:rPr>
                      <w:color w:val="auto"/>
                      <w:sz w:val="22"/>
                      <w:szCs w:val="22"/>
                    </w:rPr>
                  </w:pPr>
                  <w:r w:rsidRPr="00903244">
                    <w:rPr>
                      <w:color w:val="auto"/>
                      <w:sz w:val="22"/>
                      <w:szCs w:val="22"/>
                    </w:rPr>
                    <w:t xml:space="preserve">The firm/Consultants work, objectives and unique qualifications convey a positive feeling of which lays the foundation for a trusted </w:t>
                  </w:r>
                  <w:r w:rsidRPr="00903244">
                    <w:rPr>
                      <w:color w:val="auto"/>
                      <w:sz w:val="22"/>
                      <w:szCs w:val="22"/>
                    </w:rPr>
                    <w:lastRenderedPageBreak/>
                    <w:t>relationship.</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D2BAF1" w14:textId="6B8BAD27" w:rsidR="00903244" w:rsidRPr="004A4115"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lastRenderedPageBreak/>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5A7A7B"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198CBD"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903244" w:rsidRPr="00875A61" w14:paraId="34469AEC" w14:textId="77777777" w:rsidTr="00903244">
              <w:trPr>
                <w:trHeight w:val="420"/>
              </w:trPr>
              <w:tc>
                <w:tcPr>
                  <w:tcW w:w="680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1BBD27A0" w14:textId="4805CE2F" w:rsidR="00903244" w:rsidRPr="00372F11" w:rsidRDefault="00372F11" w:rsidP="00903244">
                  <w:pPr>
                    <w:widowControl w:val="0"/>
                    <w:spacing w:before="240" w:after="160" w:line="240" w:lineRule="auto"/>
                    <w:rPr>
                      <w:b/>
                      <w:color w:val="auto"/>
                      <w:sz w:val="22"/>
                      <w:szCs w:val="22"/>
                    </w:rPr>
                  </w:pPr>
                  <w:r w:rsidRPr="00372F11">
                    <w:rPr>
                      <w:b/>
                      <w:color w:val="auto"/>
                      <w:sz w:val="22"/>
                      <w:szCs w:val="22"/>
                    </w:rPr>
                    <w:t>Value added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A5D441" w14:textId="77777777" w:rsidR="00903244" w:rsidRPr="004A4115" w:rsidRDefault="00903244"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CCA51E" w14:textId="77777777" w:rsidR="00903244" w:rsidRPr="00875A61" w:rsidRDefault="00903244"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E75221" w14:textId="77777777" w:rsidR="00903244" w:rsidRPr="00875A61" w:rsidRDefault="00903244" w:rsidP="00903244">
                  <w:pPr>
                    <w:widowControl w:val="0"/>
                    <w:spacing w:after="160" w:line="288" w:lineRule="auto"/>
                    <w:ind w:left="-30"/>
                    <w:jc w:val="center"/>
                    <w:rPr>
                      <w:rFonts w:eastAsia="Times New Roman"/>
                      <w:color w:val="auto"/>
                      <w:sz w:val="22"/>
                      <w:szCs w:val="22"/>
                    </w:rPr>
                  </w:pPr>
                </w:p>
              </w:tc>
            </w:tr>
            <w:tr w:rsidR="00372F11" w:rsidRPr="00875A61" w14:paraId="51903FCC" w14:textId="77777777" w:rsidTr="00372F11">
              <w:trPr>
                <w:trHeight w:val="420"/>
              </w:trPr>
              <w:tc>
                <w:tcPr>
                  <w:tcW w:w="6800" w:type="dxa"/>
                  <w:tcBorders>
                    <w:top w:val="single" w:sz="4" w:space="0" w:color="auto"/>
                    <w:left w:val="single" w:sz="4" w:space="0" w:color="000000"/>
                    <w:bottom w:val="single" w:sz="4" w:space="0" w:color="auto"/>
                    <w:right w:val="single" w:sz="4" w:space="0" w:color="000000"/>
                  </w:tcBorders>
                  <w:tcMar>
                    <w:top w:w="0" w:type="dxa"/>
                    <w:left w:w="120" w:type="dxa"/>
                    <w:bottom w:w="0" w:type="dxa"/>
                    <w:right w:w="120" w:type="dxa"/>
                  </w:tcMar>
                  <w:vAlign w:val="center"/>
                </w:tcPr>
                <w:p w14:paraId="5D003298" w14:textId="2BE28DE1" w:rsidR="00372F11" w:rsidRPr="00875A61" w:rsidRDefault="00372F11" w:rsidP="00903244">
                  <w:pPr>
                    <w:widowControl w:val="0"/>
                    <w:spacing w:before="240" w:after="160" w:line="240" w:lineRule="auto"/>
                    <w:rPr>
                      <w:color w:val="auto"/>
                      <w:sz w:val="22"/>
                      <w:szCs w:val="22"/>
                    </w:rPr>
                  </w:pPr>
                  <w:r w:rsidRPr="00372F11">
                    <w:rPr>
                      <w:color w:val="auto"/>
                      <w:sz w:val="22"/>
                      <w:szCs w:val="22"/>
                    </w:rPr>
                    <w:t>It is evident that the firm has the necessary capacity to provide other services beyond the current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A1EA86" w14:textId="5D5C32CB" w:rsidR="00372F11" w:rsidRPr="004A4115" w:rsidRDefault="00372F11" w:rsidP="00903244">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DAF19CE" w14:textId="77777777" w:rsidR="00372F11" w:rsidRPr="00875A61" w:rsidRDefault="00372F11"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7DC8E2" w14:textId="77777777" w:rsidR="00372F11" w:rsidRPr="00875A61" w:rsidRDefault="00372F11" w:rsidP="00903244">
                  <w:pPr>
                    <w:widowControl w:val="0"/>
                    <w:spacing w:after="160" w:line="288" w:lineRule="auto"/>
                    <w:ind w:left="-30"/>
                    <w:jc w:val="center"/>
                    <w:rPr>
                      <w:rFonts w:eastAsia="Times New Roman"/>
                      <w:color w:val="auto"/>
                      <w:sz w:val="22"/>
                      <w:szCs w:val="22"/>
                    </w:rPr>
                  </w:pPr>
                </w:p>
              </w:tc>
            </w:tr>
            <w:tr w:rsidR="00372F11" w:rsidRPr="00875A61" w14:paraId="2AFE608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2859346" w14:textId="4AD9F9F4" w:rsidR="00372F11" w:rsidRPr="00886E74" w:rsidRDefault="00372F11" w:rsidP="00903244">
                  <w:pPr>
                    <w:widowControl w:val="0"/>
                    <w:spacing w:before="240" w:after="160" w:line="240" w:lineRule="auto"/>
                    <w:rPr>
                      <w:b/>
                      <w:color w:val="auto"/>
                      <w:sz w:val="22"/>
                      <w:szCs w:val="22"/>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96FEBFB" w14:textId="77777777" w:rsidR="00372F11" w:rsidRPr="004A4115" w:rsidRDefault="00372F11" w:rsidP="00903244">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BC9FED" w14:textId="77777777" w:rsidR="00372F11" w:rsidRPr="00875A61" w:rsidRDefault="00372F11" w:rsidP="00903244">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501339" w14:textId="77777777" w:rsidR="00372F11" w:rsidRPr="00875A61" w:rsidRDefault="00372F11" w:rsidP="00903244">
                  <w:pPr>
                    <w:widowControl w:val="0"/>
                    <w:spacing w:after="160" w:line="288" w:lineRule="auto"/>
                    <w:ind w:left="-30"/>
                    <w:jc w:val="center"/>
                    <w:rPr>
                      <w:rFonts w:eastAsia="Times New Roman"/>
                      <w:color w:val="auto"/>
                      <w:sz w:val="22"/>
                      <w:szCs w:val="22"/>
                    </w:rPr>
                  </w:pPr>
                </w:p>
              </w:tc>
            </w:tr>
            <w:tr w:rsidR="00372F11" w:rsidRPr="00875A61" w14:paraId="44D1A8F7"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1B00CABA" w14:textId="5C767790" w:rsidR="00372F11" w:rsidRPr="00875A61" w:rsidRDefault="00372F11" w:rsidP="00372F11">
                  <w:pPr>
                    <w:widowControl w:val="0"/>
                    <w:spacing w:before="240" w:after="160" w:line="240" w:lineRule="auto"/>
                    <w:rPr>
                      <w:color w:val="auto"/>
                      <w:sz w:val="22"/>
                      <w:szCs w:val="22"/>
                    </w:rPr>
                  </w:pPr>
                  <w:r w:rsidRPr="00A759AB">
                    <w:rPr>
                      <w:sz w:val="22"/>
                      <w:szCs w:val="22"/>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6E0E3A" w14:textId="168B4F72" w:rsidR="00372F11" w:rsidRPr="004A4115" w:rsidRDefault="00372F11"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247395" w14:textId="77777777" w:rsidR="00372F11" w:rsidRPr="00875A61" w:rsidRDefault="00372F11" w:rsidP="00372F1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72CA8E" w14:textId="77777777" w:rsidR="00372F11" w:rsidRPr="00875A61" w:rsidRDefault="00372F11" w:rsidP="00372F11">
                  <w:pPr>
                    <w:widowControl w:val="0"/>
                    <w:spacing w:after="160" w:line="288" w:lineRule="auto"/>
                    <w:ind w:left="-30"/>
                    <w:jc w:val="center"/>
                    <w:rPr>
                      <w:rFonts w:eastAsia="Times New Roman"/>
                      <w:color w:val="auto"/>
                      <w:sz w:val="22"/>
                      <w:szCs w:val="22"/>
                    </w:rPr>
                  </w:pPr>
                </w:p>
              </w:tc>
            </w:tr>
            <w:tr w:rsidR="00372F11" w:rsidRPr="00875A61" w14:paraId="2D275B04"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797853F7" w14:textId="47D5C493" w:rsidR="00372F11" w:rsidRPr="00875A61" w:rsidRDefault="00372F11" w:rsidP="00372F11">
                  <w:pPr>
                    <w:widowControl w:val="0"/>
                    <w:spacing w:before="240" w:after="160" w:line="240" w:lineRule="auto"/>
                    <w:rPr>
                      <w:color w:val="auto"/>
                      <w:sz w:val="22"/>
                      <w:szCs w:val="22"/>
                    </w:rPr>
                  </w:pPr>
                  <w:r w:rsidRPr="00A759AB">
                    <w:rPr>
                      <w:sz w:val="22"/>
                      <w:szCs w:val="22"/>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183A21A5" w14:textId="60673459" w:rsidR="00372F11" w:rsidRPr="004A4115" w:rsidRDefault="00372F11"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9749C" w14:textId="77777777" w:rsidR="00372F11" w:rsidRPr="00875A61" w:rsidRDefault="00372F11" w:rsidP="00372F11">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66B4AF5" w14:textId="77777777" w:rsidR="00372F11" w:rsidRPr="00875A61" w:rsidRDefault="00372F11" w:rsidP="00372F11">
                  <w:pPr>
                    <w:widowControl w:val="0"/>
                    <w:spacing w:after="160" w:line="288" w:lineRule="auto"/>
                    <w:ind w:left="-30"/>
                    <w:jc w:val="center"/>
                    <w:rPr>
                      <w:rFonts w:eastAsia="Times New Roman"/>
                      <w:color w:val="auto"/>
                      <w:sz w:val="22"/>
                      <w:szCs w:val="22"/>
                    </w:rPr>
                  </w:pPr>
                </w:p>
              </w:tc>
            </w:tr>
            <w:tr w:rsidR="00372F11" w:rsidRPr="00875A61" w14:paraId="09810B01" w14:textId="77777777" w:rsidTr="00372F11">
              <w:trPr>
                <w:trHeight w:val="420"/>
              </w:trPr>
              <w:tc>
                <w:tcPr>
                  <w:tcW w:w="680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FB187C0" w14:textId="6EE31F81" w:rsidR="00372F11" w:rsidRPr="00875A61" w:rsidRDefault="00372F11" w:rsidP="00372F11">
                  <w:pPr>
                    <w:widowControl w:val="0"/>
                    <w:spacing w:before="240" w:after="160" w:line="240" w:lineRule="auto"/>
                    <w:rPr>
                      <w:color w:val="auto"/>
                      <w:sz w:val="22"/>
                      <w:szCs w:val="22"/>
                    </w:rPr>
                  </w:pPr>
                  <w:r w:rsidRPr="00A759AB">
                    <w:rPr>
                      <w:sz w:val="22"/>
                      <w:szCs w:val="22"/>
                    </w:rPr>
                    <w:t>The proposed fee is reasonable based on the experience, unique value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8B1B168" w14:textId="0983BB39" w:rsidR="00372F11" w:rsidRPr="00875A61" w:rsidRDefault="00372F11" w:rsidP="00372F1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372F11" w:rsidRPr="00875A61" w:rsidRDefault="00372F11" w:rsidP="00372F11">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372F11" w:rsidRPr="00875A61" w:rsidRDefault="00372F11" w:rsidP="00372F11">
                  <w:pPr>
                    <w:widowControl w:val="0"/>
                    <w:spacing w:after="160" w:line="288" w:lineRule="auto"/>
                    <w:ind w:left="-30"/>
                    <w:rPr>
                      <w:rFonts w:eastAsia="Times New Roman"/>
                      <w:color w:val="auto"/>
                      <w:sz w:val="22"/>
                      <w:szCs w:val="22"/>
                    </w:rPr>
                  </w:pPr>
                </w:p>
              </w:tc>
            </w:tr>
            <w:tr w:rsidR="00372F1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372F11" w:rsidRPr="00875A61" w:rsidRDefault="00372F11" w:rsidP="00372F1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372F11" w:rsidRPr="00875A61" w:rsidRDefault="00372F11" w:rsidP="00372F1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372F11" w:rsidRPr="00875A61" w:rsidRDefault="00372F11" w:rsidP="00372F1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372F11" w:rsidRPr="00875A61" w:rsidRDefault="00372F11" w:rsidP="00372F1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2CD5BD5" w14:textId="365BCCE1" w:rsidR="00456A21" w:rsidRPr="00FD5B53" w:rsidRDefault="00456A21" w:rsidP="003246D4">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4F649D">
      <w:pPr>
        <w:pStyle w:val="Heading1"/>
        <w:widowControl w:val="0"/>
        <w:numPr>
          <w:ilvl w:val="0"/>
          <w:numId w:val="11"/>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4F649D">
      <w:pPr>
        <w:numPr>
          <w:ilvl w:val="0"/>
          <w:numId w:val="12"/>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40888E74"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w:t>
      </w:r>
      <w:r w:rsidR="003246D4" w:rsidRPr="003246D4">
        <w:rPr>
          <w:rFonts w:ascii="Times New Roman" w:hAnsi="Times New Roman" w:cs="Times New Roman"/>
          <w:color w:val="auto"/>
          <w:sz w:val="22"/>
          <w:szCs w:val="22"/>
        </w:rPr>
        <w:t xml:space="preserve">the daily rate for key </w:t>
      </w:r>
      <w:proofErr w:type="gramStart"/>
      <w:r w:rsidR="003246D4" w:rsidRPr="003246D4">
        <w:rPr>
          <w:rFonts w:ascii="Times New Roman" w:hAnsi="Times New Roman" w:cs="Times New Roman"/>
          <w:color w:val="auto"/>
          <w:sz w:val="22"/>
          <w:szCs w:val="22"/>
        </w:rPr>
        <w:t xml:space="preserve">personnel </w:t>
      </w:r>
      <w:r w:rsidR="0049054D" w:rsidRPr="003246D4">
        <w:rPr>
          <w:rFonts w:ascii="Times New Roman" w:hAnsi="Times New Roman" w:cs="Times New Roman"/>
          <w:color w:val="auto"/>
          <w:sz w:val="22"/>
          <w:szCs w:val="22"/>
        </w:rPr>
        <w:t xml:space="preserve"> and</w:t>
      </w:r>
      <w:proofErr w:type="gramEnd"/>
      <w:r w:rsidR="0049054D" w:rsidRPr="003246D4">
        <w:rPr>
          <w:rFonts w:ascii="Times New Roman" w:hAnsi="Times New Roman" w:cs="Times New Roman"/>
          <w:color w:val="auto"/>
          <w:sz w:val="22"/>
          <w:szCs w:val="22"/>
        </w:rPr>
        <w:t xml:space="preserve"> </w:t>
      </w:r>
      <w:r w:rsidR="003246D4">
        <w:rPr>
          <w:rFonts w:ascii="Times New Roman" w:hAnsi="Times New Roman" w:cs="Times New Roman"/>
          <w:color w:val="auto"/>
          <w:sz w:val="22"/>
          <w:szCs w:val="22"/>
        </w:rPr>
        <w:t xml:space="preserve">expenses </w:t>
      </w:r>
      <w:r w:rsidR="0049054D">
        <w:rPr>
          <w:rFonts w:ascii="Times New Roman" w:hAnsi="Times New Roman" w:cs="Times New Roman"/>
          <w:color w:val="auto"/>
          <w:sz w:val="22"/>
          <w:szCs w:val="22"/>
        </w:rPr>
        <w:t>indicated.</w:t>
      </w:r>
    </w:p>
    <w:p w14:paraId="7A76F08E" w14:textId="77777777" w:rsidR="00C7141C" w:rsidRPr="00517B93"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4F649D">
      <w:pPr>
        <w:numPr>
          <w:ilvl w:val="0"/>
          <w:numId w:val="12"/>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4D87F868" w14:textId="77777777"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45183F2" w14:textId="0A1F2726"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F7377C">
        <w:rPr>
          <w:rFonts w:ascii="Times New Roman" w:eastAsia="SimSun" w:hAnsi="Times New Roman" w:cs="Times New Roman"/>
          <w:b/>
          <w:color w:val="auto"/>
          <w:sz w:val="22"/>
          <w:szCs w:val="22"/>
          <w:lang w:val="en-US"/>
        </w:rPr>
        <w:t>Mercy Corps AgriFin</w:t>
      </w:r>
    </w:p>
    <w:p w14:paraId="39551130" w14:textId="77777777" w:rsidR="00F7377C" w:rsidRDefault="00F7377C"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06F7F1CB" w14:textId="57779CE6"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Mercy Corps’ mission is to alleviate suffering, poverty and oppression by helping people build secure, productive and just communities. The AgriFin Accelerate (AFA) program is a six year, USD 24.7 million program of Mercy Corps, supported by The MasterCard Foundation.</w:t>
      </w:r>
    </w:p>
    <w:p w14:paraId="34466024" w14:textId="58D711BF"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The core problem AgriFin Accelerate seeks to address is the inclusion gap for smallholder farmers (SHF) who lack access to affordable, accessible, demand-driven financial products and services that drive higher productivity and income for farm families.</w:t>
      </w:r>
    </w:p>
    <w:p w14:paraId="0AE30957"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Drawing on Mercy Corps’ experience implementing the AgriFin Mobile program and years of work in the agriculture, finance and ICT sectors, AgriFin Accelerate will </w:t>
      </w:r>
      <w:r w:rsidRPr="00F7377C">
        <w:rPr>
          <w:rFonts w:ascii="Times New Roman" w:hAnsi="Times New Roman" w:cs="Times New Roman"/>
          <w:b/>
          <w:color w:val="auto"/>
          <w:sz w:val="22"/>
          <w:szCs w:val="22"/>
          <w:lang w:val="en-US"/>
        </w:rPr>
        <w:t>support the expansion of digital financial services (DFS) to one million farmers in Sub-Saharan Africa (SSA) over six years, delivered by growing ecosystems of diverse service providers</w:t>
      </w:r>
      <w:r w:rsidRPr="00F7377C">
        <w:rPr>
          <w:rFonts w:ascii="Times New Roman" w:hAnsi="Times New Roman" w:cs="Times New Roman"/>
          <w:color w:val="auto"/>
          <w:sz w:val="22"/>
          <w:szCs w:val="22"/>
          <w:lang w:val="en-US"/>
        </w:rPr>
        <w:t>.</w:t>
      </w:r>
      <w:r w:rsidRPr="00F7377C">
        <w:rPr>
          <w:rFonts w:ascii="Times New Roman" w:hAnsi="Times New Roman" w:cs="Times New Roman"/>
          <w:b/>
          <w:color w:val="auto"/>
          <w:sz w:val="22"/>
          <w:szCs w:val="22"/>
          <w:lang w:val="en-US"/>
        </w:rPr>
        <w:t xml:space="preserve"> </w:t>
      </w:r>
      <w:r w:rsidRPr="00F7377C">
        <w:rPr>
          <w:rFonts w:ascii="Times New Roman" w:hAnsi="Times New Roman" w:cs="Times New Roman"/>
          <w:color w:val="auto"/>
          <w:sz w:val="22"/>
          <w:szCs w:val="22"/>
          <w:lang w:val="en-US"/>
        </w:rPr>
        <w:t>AgriFin Accelerate’s primary target group is unbanked smallholder farmers living on less than $2 per day in Kenya, Tanzania and Zambia.</w:t>
      </w:r>
    </w:p>
    <w:p w14:paraId="42EA144A"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291931E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Three outcomes will contribute to the achievement of this goal:</w:t>
      </w:r>
    </w:p>
    <w:p w14:paraId="469B33CB" w14:textId="77777777" w:rsidR="00F7377C" w:rsidRPr="00F7377C" w:rsidRDefault="00F7377C" w:rsidP="004F649D">
      <w:pPr>
        <w:numPr>
          <w:ilvl w:val="0"/>
          <w:numId w:val="1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i/>
          <w:color w:val="auto"/>
          <w:sz w:val="22"/>
          <w:szCs w:val="22"/>
          <w:lang w:val="en-US"/>
        </w:rPr>
        <w:t>Outcome 1:</w:t>
      </w:r>
      <w:r w:rsidRPr="00F7377C">
        <w:rPr>
          <w:rFonts w:ascii="Times New Roman" w:hAnsi="Times New Roman" w:cs="Times New Roman"/>
          <w:color w:val="auto"/>
          <w:sz w:val="22"/>
          <w:szCs w:val="22"/>
          <w:lang w:val="en-US"/>
        </w:rPr>
        <w:t xml:space="preserve"> Market actors expand, improve and continue to offer high-impact DFS products and services that are tailored to address the expressed needs of SHFs;</w:t>
      </w:r>
    </w:p>
    <w:p w14:paraId="4B1ECF48" w14:textId="77777777" w:rsidR="00F7377C" w:rsidRPr="00F7377C" w:rsidRDefault="00F7377C" w:rsidP="004F649D">
      <w:pPr>
        <w:numPr>
          <w:ilvl w:val="0"/>
          <w:numId w:val="1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i/>
          <w:color w:val="auto"/>
          <w:sz w:val="22"/>
          <w:szCs w:val="22"/>
          <w:lang w:val="en-US"/>
        </w:rPr>
        <w:t>Outcome 2</w:t>
      </w:r>
      <w:r w:rsidRPr="00F7377C">
        <w:rPr>
          <w:rFonts w:ascii="Times New Roman" w:hAnsi="Times New Roman" w:cs="Times New Roman"/>
          <w:color w:val="auto"/>
          <w:sz w:val="22"/>
          <w:szCs w:val="22"/>
          <w:lang w:val="en-US"/>
        </w:rPr>
        <w:t>: Farmers increase capability to access and utilize demand-driven, high impact technology-enabled financial products and services relevant to SHFs;</w:t>
      </w:r>
    </w:p>
    <w:p w14:paraId="21DED0B7" w14:textId="76983764" w:rsidR="00F7377C" w:rsidRPr="00F7377C" w:rsidRDefault="00F7377C" w:rsidP="004F649D">
      <w:pPr>
        <w:numPr>
          <w:ilvl w:val="0"/>
          <w:numId w:val="1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i/>
          <w:color w:val="auto"/>
          <w:sz w:val="22"/>
          <w:szCs w:val="22"/>
          <w:lang w:val="en-US"/>
        </w:rPr>
        <w:t>Outcome 3</w:t>
      </w:r>
      <w:r w:rsidRPr="00F7377C">
        <w:rPr>
          <w:rFonts w:ascii="Times New Roman" w:hAnsi="Times New Roman" w:cs="Times New Roman"/>
          <w:color w:val="auto"/>
          <w:sz w:val="22"/>
          <w:szCs w:val="22"/>
          <w:lang w:val="en-US"/>
        </w:rPr>
        <w:t>: Ecosystems around both supplier and farmers emerge supporting provision of digital financial and informational services to SHFs that are used at scale.</w:t>
      </w:r>
    </w:p>
    <w:p w14:paraId="7BF9B1E7" w14:textId="77777777" w:rsid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The core activity of this program is to build technical partnerships among high quality service providers to reach smallholder farmers with critical products and services through mobile and other digital channels, using a rapid prototyping and iterative design approach. These providers encompass a wide range of institutional types, including banks, agricultural extension providers, farmer associations, MFIs, mobile network operators and others. A key element of the program is the ability to create viable business models and necessary technical interfaces between partners to build “bundles” of services for farmers on unified platforms, therefore building the relevance and value proposition of mobile-based services to promote mass uptake.   This activity is kicked off with in depth ecosystem research and ongoing research in the forms of annual farmer benchmarks and focuses on four areas for innovation:</w:t>
      </w:r>
    </w:p>
    <w:p w14:paraId="660D169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p>
    <w:p w14:paraId="352AD850" w14:textId="77777777" w:rsidR="00F7377C" w:rsidRPr="00F7377C" w:rsidRDefault="00F7377C" w:rsidP="004F649D">
      <w:pPr>
        <w:numPr>
          <w:ilvl w:val="1"/>
          <w:numId w:val="16"/>
        </w:num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Products and services for farmers;</w:t>
      </w:r>
    </w:p>
    <w:p w14:paraId="47B95665" w14:textId="77777777" w:rsidR="00F7377C" w:rsidRPr="00F7377C" w:rsidRDefault="00F7377C" w:rsidP="004F649D">
      <w:pPr>
        <w:numPr>
          <w:ilvl w:val="1"/>
          <w:numId w:val="16"/>
        </w:num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Delivery channels to reach farmers;</w:t>
      </w:r>
    </w:p>
    <w:p w14:paraId="2C3438A9" w14:textId="77777777" w:rsidR="00F7377C" w:rsidRPr="00F7377C" w:rsidRDefault="00F7377C" w:rsidP="004F649D">
      <w:pPr>
        <w:numPr>
          <w:ilvl w:val="1"/>
          <w:numId w:val="16"/>
        </w:num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Incorporation and support for technology companies working to disrupt agriculture and serve farmers; and</w:t>
      </w:r>
    </w:p>
    <w:p w14:paraId="6A6E684F" w14:textId="77777777" w:rsidR="00F7377C" w:rsidRPr="00F7377C" w:rsidRDefault="00F7377C" w:rsidP="004F649D">
      <w:pPr>
        <w:numPr>
          <w:ilvl w:val="1"/>
          <w:numId w:val="16"/>
        </w:num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Use cases of alternative data to support farmer access to services.  The program has 4-5 prioritized value chains in each country, but has also worked in alternate agricultural Value Chains.  </w:t>
      </w:r>
    </w:p>
    <w:p w14:paraId="28A49264"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lastRenderedPageBreak/>
        <w:t xml:space="preserve">The second activity area addresses barriers to effective adoption of services where farmers lack knowledge and capability to utilize new technology, products, services and channels. DFS providers typically struggle with a lack of proven, effective tools, channels and viable models to build SHF capacity. This activity is supported by initial ecosystem research and annual farmer benchmark studies in each country and has had a special emphasis on reaching women and youth farmers through the AFA Digital Farmer Capability Lab based in the Hub office in Nairobi. The Lab, which ran from 2015 to 2018, targeted qualified partners and worked with them to develop and test SHF capability tools and sustainable delivery approaches linked to ongoing product and channel development activities from Output 1, establishing proof points around impact for SHF and viability for providers.  </w:t>
      </w:r>
    </w:p>
    <w:p w14:paraId="4C90CB3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p>
    <w:p w14:paraId="69CFC78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The third activity relates to use of program learning to drive ecosystem growth. Market ecosystem actors and the development community lack sufficient information, proven products and tools, and effective partnership models to successfully provide digital financial services to farmers. The program is designed to serve as a public information resource related to digitally-enabled services for smallholder farmers, sharing program research, impact evaluations, tools and project engagement learning, as well as convening stakeholders and disseminating lessons learned through newsletters, a dedicated website and social media. Following the learning agenda, the program seeks to contribute toward the development of good practice and practical tools to develop mobile-enabled services for SHF. </w:t>
      </w:r>
    </w:p>
    <w:p w14:paraId="63257C3F"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301C7BAB"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The AFA program launched in March 2015 in Kenya with a phased approach to opening new country programming, allowing for the Kenya hub office to establish the model and core matrix team meant to serve all three countries over the life of the program. Program outreach targets include the lead indicator to support expanded provision of DFS services to 1 million smallholder farmers (SHF) for the program over the six-year program span with Kenya at 500,000 SHF, Tanzania at 350,000 SHF &amp; Zambia at 150,000, linked to rollout of country programming and maturity of ecosystem partners around DFS smallholders.  We work to achieve this target by working with carefully selected partners and implementing joint “innovation” engagements on a cost-share basis to promote farmer-centric solution development, prototyping, testing and scale.</w:t>
      </w:r>
    </w:p>
    <w:p w14:paraId="4FC10F7C"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3C7BE30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Initial ecosystem evaluations are conducted to kick off each country program, providing strategic direction for our technical approach and partnership strategies.  The Kenya ecosystem study was completed by July 2015 and first engagements were launched in August 2015. The Tanzania ecosystem study was completed by February 2016 and first engagements were launched in February 2016, with formal program launch in July 2016. The Zambia ecosystem study was concluded in January 2017 and the program officially launched in February 2017. To date, 176 partner engagements have been completed across the three countries, with the following breakdown by country and information on live engagements and engagements in development:</w:t>
      </w:r>
    </w:p>
    <w:p w14:paraId="77C0B132"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tbl>
      <w:tblPr>
        <w:tblW w:w="5000" w:type="pct"/>
        <w:tblBorders>
          <w:top w:val="nil"/>
          <w:left w:val="nil"/>
          <w:bottom w:val="nil"/>
          <w:right w:val="nil"/>
          <w:insideH w:val="nil"/>
          <w:insideV w:val="nil"/>
        </w:tblBorders>
        <w:tblLook w:val="0600" w:firstRow="0" w:lastRow="0" w:firstColumn="0" w:lastColumn="0" w:noHBand="1" w:noVBand="1"/>
      </w:tblPr>
      <w:tblGrid>
        <w:gridCol w:w="2066"/>
        <w:gridCol w:w="2421"/>
        <w:gridCol w:w="1981"/>
        <w:gridCol w:w="2559"/>
        <w:gridCol w:w="1763"/>
      </w:tblGrid>
      <w:tr w:rsidR="00F7377C" w:rsidRPr="00F7377C" w14:paraId="32A6AC8F" w14:textId="77777777" w:rsidTr="00DF5A4A">
        <w:trPr>
          <w:trHeight w:val="485"/>
        </w:trPr>
        <w:tc>
          <w:tcPr>
            <w:tcW w:w="957" w:type="pct"/>
            <w:tcBorders>
              <w:top w:val="nil"/>
              <w:left w:val="nil"/>
              <w:bottom w:val="nil"/>
              <w:right w:val="single" w:sz="8" w:space="0" w:color="000000"/>
            </w:tcBorders>
            <w:tcMar>
              <w:top w:w="100" w:type="dxa"/>
              <w:left w:w="120" w:type="dxa"/>
              <w:bottom w:w="100" w:type="dxa"/>
              <w:right w:w="120" w:type="dxa"/>
            </w:tcMar>
            <w:vAlign w:val="bottom"/>
          </w:tcPr>
          <w:p w14:paraId="365AB377"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p>
        </w:tc>
        <w:tc>
          <w:tcPr>
            <w:tcW w:w="4043" w:type="pct"/>
            <w:gridSpan w:val="4"/>
            <w:tcBorders>
              <w:top w:val="single" w:sz="8" w:space="0" w:color="000000"/>
              <w:left w:val="nil"/>
              <w:bottom w:val="single" w:sz="8" w:space="0" w:color="000000"/>
              <w:right w:val="single" w:sz="8" w:space="0" w:color="000000"/>
            </w:tcBorders>
            <w:tcMar>
              <w:top w:w="100" w:type="dxa"/>
              <w:left w:w="120" w:type="dxa"/>
              <w:bottom w:w="100" w:type="dxa"/>
              <w:right w:w="120" w:type="dxa"/>
            </w:tcMar>
            <w:vAlign w:val="bottom"/>
          </w:tcPr>
          <w:p w14:paraId="50A3B01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Engagement Activity</w:t>
            </w:r>
          </w:p>
        </w:tc>
      </w:tr>
      <w:tr w:rsidR="00F7377C" w:rsidRPr="00F7377C" w14:paraId="72A7A11B" w14:textId="77777777" w:rsidTr="00DF5A4A">
        <w:trPr>
          <w:trHeight w:val="485"/>
        </w:trPr>
        <w:tc>
          <w:tcPr>
            <w:tcW w:w="957"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F36B3C1"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p>
        </w:tc>
        <w:tc>
          <w:tcPr>
            <w:tcW w:w="1122"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09AC9BB"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Completed</w:t>
            </w:r>
          </w:p>
        </w:tc>
        <w:tc>
          <w:tcPr>
            <w:tcW w:w="918"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D39E3E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Ongoing</w:t>
            </w:r>
          </w:p>
        </w:tc>
        <w:tc>
          <w:tcPr>
            <w:tcW w:w="1186"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0E7D327"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Preparation</w:t>
            </w:r>
          </w:p>
        </w:tc>
        <w:tc>
          <w:tcPr>
            <w:tcW w:w="816"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89C63A7"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TOTAL</w:t>
            </w:r>
          </w:p>
        </w:tc>
      </w:tr>
      <w:tr w:rsidR="00F7377C" w:rsidRPr="00F7377C" w14:paraId="3F01C3CE" w14:textId="77777777" w:rsidTr="00DF5A4A">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23DC85CB"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Kenya</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5E056F52"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67</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118C8DEF"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2</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582DC7F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12</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F5C3247"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81</w:t>
            </w:r>
          </w:p>
        </w:tc>
      </w:tr>
      <w:tr w:rsidR="00F7377C" w:rsidRPr="00F7377C" w14:paraId="693A841F" w14:textId="77777777" w:rsidTr="00DF5A4A">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41C192F9"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Tanzania</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3A302BD4"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55</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50E47E5"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0</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FE8FAE6"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5</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57EE3A2C"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60</w:t>
            </w:r>
          </w:p>
        </w:tc>
      </w:tr>
      <w:tr w:rsidR="00F7377C" w:rsidRPr="00F7377C" w14:paraId="0A975879" w14:textId="77777777" w:rsidTr="00DF5A4A">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04EB86D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lastRenderedPageBreak/>
              <w:t>Zambia</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5A9F7C1A"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34</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3368E789"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1</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5A87306F"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0</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0F59FEF9"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35</w:t>
            </w:r>
          </w:p>
        </w:tc>
      </w:tr>
      <w:tr w:rsidR="00F7377C" w:rsidRPr="00F7377C" w14:paraId="46DC5EC1" w14:textId="77777777" w:rsidTr="00DF5A4A">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6B29CE68"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TOTAL</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3DE04B51"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156</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0B62CAE"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3</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47DCE946"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17</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00EE090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b/>
                <w:color w:val="auto"/>
                <w:sz w:val="22"/>
                <w:szCs w:val="22"/>
                <w:lang w:val="en-US"/>
              </w:rPr>
            </w:pPr>
            <w:r w:rsidRPr="00F7377C">
              <w:rPr>
                <w:rFonts w:ascii="Times New Roman" w:hAnsi="Times New Roman" w:cs="Times New Roman"/>
                <w:b/>
                <w:color w:val="auto"/>
                <w:sz w:val="22"/>
                <w:szCs w:val="22"/>
                <w:lang w:val="en-US"/>
              </w:rPr>
              <w:t>176</w:t>
            </w:r>
          </w:p>
        </w:tc>
      </w:tr>
    </w:tbl>
    <w:p w14:paraId="0F2BE178"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21755EE2"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The size and scope of engagements varies considerably, with procurement values between zero and $500,000 and duration of one month to one year.  AFA works with partners in two main categories, including “core” DFS platform providers (ex. Safaricom, Equity Bank, Cooperative Bank, Halotel, Zoona) and value-added service provider (VAS) partners (ex. iProcure, Arifu, FarmDrive, Mediae) which serve the purpose of aggregating farmers and providing complementary services enabling DFS and increasing productivity and income gains among farmers.  Some engagements involve multiple partners, while others focus on a sole partner.  The breakdown of partners actively engaged through AFA is presented below:</w:t>
      </w:r>
    </w:p>
    <w:p w14:paraId="2EC5D6F9"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tbl>
      <w:tblPr>
        <w:tblW w:w="5000" w:type="pct"/>
        <w:tblBorders>
          <w:top w:val="nil"/>
          <w:left w:val="nil"/>
          <w:bottom w:val="nil"/>
          <w:right w:val="nil"/>
          <w:insideH w:val="nil"/>
          <w:insideV w:val="nil"/>
        </w:tblBorders>
        <w:tblLook w:val="0600" w:firstRow="0" w:lastRow="0" w:firstColumn="0" w:lastColumn="0" w:noHBand="1" w:noVBand="1"/>
      </w:tblPr>
      <w:tblGrid>
        <w:gridCol w:w="2697"/>
        <w:gridCol w:w="2697"/>
        <w:gridCol w:w="2698"/>
        <w:gridCol w:w="2698"/>
      </w:tblGrid>
      <w:tr w:rsidR="00F7377C" w:rsidRPr="00F7377C" w14:paraId="5C58B673" w14:textId="77777777" w:rsidTr="00DF5A4A">
        <w:trPr>
          <w:trHeight w:val="195"/>
        </w:trPr>
        <w:tc>
          <w:tcPr>
            <w:tcW w:w="1250" w:type="pct"/>
            <w:tcBorders>
              <w:top w:val="nil"/>
              <w:left w:val="nil"/>
              <w:bottom w:val="nil"/>
              <w:right w:val="single" w:sz="8" w:space="0" w:color="000000"/>
            </w:tcBorders>
            <w:shd w:val="clear" w:color="auto" w:fill="auto"/>
            <w:tcMar>
              <w:top w:w="100" w:type="dxa"/>
              <w:left w:w="120" w:type="dxa"/>
              <w:bottom w:w="100" w:type="dxa"/>
              <w:right w:w="120" w:type="dxa"/>
            </w:tcMar>
            <w:vAlign w:val="bottom"/>
          </w:tcPr>
          <w:p w14:paraId="76D4E43F"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p>
        </w:tc>
        <w:tc>
          <w:tcPr>
            <w:tcW w:w="3750" w:type="pct"/>
            <w:gridSpan w:val="3"/>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center"/>
          </w:tcPr>
          <w:p w14:paraId="6045444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center"/>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AFA PARTNERS</w:t>
            </w:r>
          </w:p>
        </w:tc>
      </w:tr>
      <w:tr w:rsidR="00F7377C" w:rsidRPr="00F7377C" w14:paraId="49C835CB" w14:textId="77777777" w:rsidTr="00DF5A4A">
        <w:trPr>
          <w:trHeight w:val="90"/>
        </w:trPr>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25C3A22"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72F1AD2"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CORE</w:t>
            </w:r>
          </w:p>
        </w:tc>
        <w:tc>
          <w:tcPr>
            <w:tcW w:w="1250"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524B66B"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VAS</w:t>
            </w:r>
          </w:p>
        </w:tc>
        <w:tc>
          <w:tcPr>
            <w:tcW w:w="1250"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C76EF55"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TOTAL</w:t>
            </w:r>
          </w:p>
        </w:tc>
      </w:tr>
      <w:tr w:rsidR="00F7377C" w:rsidRPr="00F7377C" w14:paraId="6FC5D62F" w14:textId="77777777" w:rsidTr="00DF5A4A">
        <w:trPr>
          <w:trHeight w:val="485"/>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20C48324"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Kenya</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DE7C01D"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28</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EC1EFAE"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53</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6114A33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81</w:t>
            </w:r>
          </w:p>
        </w:tc>
      </w:tr>
      <w:tr w:rsidR="00F7377C" w:rsidRPr="00F7377C" w14:paraId="0B705E0D" w14:textId="77777777" w:rsidTr="00DF5A4A">
        <w:trPr>
          <w:trHeight w:val="500"/>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13B6B02E"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Tanzania</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629185CA"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13</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3C66F4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22</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6EA6AE0F"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35</w:t>
            </w:r>
          </w:p>
        </w:tc>
      </w:tr>
      <w:tr w:rsidR="00F7377C" w:rsidRPr="00F7377C" w14:paraId="301A04DD" w14:textId="77777777" w:rsidTr="00DF5A4A">
        <w:trPr>
          <w:trHeight w:val="485"/>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70D4E21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Zambia</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1F1EC7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14</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9085024"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22</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EF74B8C"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36</w:t>
            </w:r>
          </w:p>
        </w:tc>
      </w:tr>
      <w:tr w:rsidR="00F7377C" w:rsidRPr="00F7377C" w14:paraId="51D05022" w14:textId="77777777" w:rsidTr="00DF5A4A">
        <w:trPr>
          <w:trHeight w:val="485"/>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7139654E"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TOTAL</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41F04511"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55</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9966E06"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97</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B07B5A5"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line="240" w:lineRule="auto"/>
              <w:ind w:left="1080" w:hanging="36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152</w:t>
            </w:r>
          </w:p>
        </w:tc>
      </w:tr>
    </w:tbl>
    <w:p w14:paraId="3F9F1659"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p>
    <w:p w14:paraId="552920AF"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To complement partner engagements, approximately one third of the AFA program budget is dedicated to strategic learning and sharing lessons learned with the broader ecosystem through research, publications, events, social media engagement and ecosystem collaboration with organizations including CGAP, FSD programs in all countries, UNCDF and others. This study will build onto the continued effort to show some level of causality between learning and changes / program outcomes at the institution and ecosystem level.</w:t>
      </w:r>
    </w:p>
    <w:p w14:paraId="25D7B6F0"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5F91D51A"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In particular, there is increased importance for the project to show impact at the ecosystem level to note the increased number of AFA partners and their peers in the </w:t>
      </w:r>
      <w:proofErr w:type="spellStart"/>
      <w:r w:rsidRPr="00F7377C">
        <w:rPr>
          <w:rFonts w:ascii="Times New Roman" w:hAnsi="Times New Roman" w:cs="Times New Roman"/>
          <w:color w:val="auto"/>
          <w:sz w:val="22"/>
          <w:szCs w:val="22"/>
          <w:lang w:val="en-US"/>
        </w:rPr>
        <w:t>agri</w:t>
      </w:r>
      <w:proofErr w:type="spellEnd"/>
      <w:r w:rsidRPr="00F7377C">
        <w:rPr>
          <w:rFonts w:ascii="Times New Roman" w:hAnsi="Times New Roman" w:cs="Times New Roman"/>
          <w:color w:val="auto"/>
          <w:sz w:val="22"/>
          <w:szCs w:val="22"/>
          <w:lang w:val="en-US"/>
        </w:rPr>
        <w:t>-fin-tech ecosystem, who have entered the realm of serving smallholder farmers with digital financial and information products. Across the range of digitally-enabled products and services, the directionality of cause and effect of change in the ecosystem is difficult to prove and thus attribute. Making this crucial link is an imperative towards evaluating the program’s impact.</w:t>
      </w:r>
    </w:p>
    <w:p w14:paraId="27EB7EEA" w14:textId="77777777" w:rsidR="004A4115" w:rsidRDefault="004A4115"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Purpose of Engagement </w:t>
      </w:r>
    </w:p>
    <w:p w14:paraId="30B3CC2D" w14:textId="77777777" w:rsidR="00F7377C" w:rsidRDefault="00F7377C"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B50FAD2"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This final program evaluation is being commissioned by the Mercy Corps AgriFin Accelerate program, which will work in collaboration with the MasterCard Foundation throughout the evaluation process. The evaluation will serve as a final program evaluation of the programs since inception, incorporating ecosystem impact evaluation as well as fulfillment of program milestones and objectives. The evaluation should provide both the </w:t>
      </w:r>
      <w:proofErr w:type="spellStart"/>
      <w:r w:rsidRPr="00F7377C">
        <w:rPr>
          <w:rFonts w:ascii="Times New Roman" w:hAnsi="Times New Roman" w:cs="Times New Roman"/>
          <w:color w:val="auto"/>
          <w:sz w:val="22"/>
          <w:szCs w:val="22"/>
          <w:lang w:val="en-US"/>
        </w:rPr>
        <w:t>Mastercard</w:t>
      </w:r>
      <w:proofErr w:type="spellEnd"/>
      <w:r w:rsidRPr="00F7377C">
        <w:rPr>
          <w:rFonts w:ascii="Times New Roman" w:hAnsi="Times New Roman" w:cs="Times New Roman"/>
          <w:color w:val="auto"/>
          <w:sz w:val="22"/>
          <w:szCs w:val="22"/>
          <w:lang w:val="en-US"/>
        </w:rPr>
        <w:t xml:space="preserve"> Foundation and Mercy Corps an </w:t>
      </w:r>
      <w:r w:rsidRPr="00F7377C">
        <w:rPr>
          <w:rFonts w:ascii="Times New Roman" w:hAnsi="Times New Roman" w:cs="Times New Roman"/>
          <w:color w:val="auto"/>
          <w:sz w:val="22"/>
          <w:szCs w:val="22"/>
          <w:lang w:val="en-US"/>
        </w:rPr>
        <w:lastRenderedPageBreak/>
        <w:t>understanding of progress towards project objectives from inception to program closure, with a focus on progressing from the mid-term evaluation of the program that was completed in February 2018, and the Kenya, Tanzania and Zambia ecosystem studies that revealed the status upon program launch across agricultural, digital, and solutions landscapes in these countries at the baseline point. It is expected that the contents of the evaluation will allow for a review of program design, achievements, and challenges in order to generate key lessons for future strategic and programming decisions related to the AgriFin Accelerate program, the overall MasterCard Foundation portfolio learnings and the smallholder financial and digital inclusion sector more broadly.</w:t>
      </w:r>
    </w:p>
    <w:p w14:paraId="1CB33D88"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234C4BF8"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The AgriFin Accelerate (AFA) program seeks to influence change at the client (farmer) level, institutional level and the ecosystem level, as represented in the below summary of its TOC (theory of change):</w:t>
      </w:r>
    </w:p>
    <w:p w14:paraId="410B4076"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i/>
          <w:color w:val="221E1F"/>
          <w:sz w:val="22"/>
          <w:szCs w:val="22"/>
          <w:lang w:val="en-US"/>
        </w:rPr>
      </w:pPr>
      <w:r w:rsidRPr="00F7377C">
        <w:rPr>
          <w:rFonts w:ascii="Times New Roman" w:hAnsi="Times New Roman" w:cs="Times New Roman"/>
          <w:i/>
          <w:color w:val="221E1F"/>
          <w:sz w:val="22"/>
          <w:szCs w:val="22"/>
          <w:lang w:val="en-US"/>
        </w:rPr>
        <w:t>If well-designed and accessible digital financial services are bundled with productivity tools and offered to smallholders and digital ecosystems are accelerated to effectively provide relevant services to smallholder farmers at scale, then financial inclusion will increase, driving gains for farmer income and productivity.</w:t>
      </w:r>
    </w:p>
    <w:p w14:paraId="67B4C0C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1C53E72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Times New Roman" w:hAnsi="Times New Roman" w:cs="Times New Roman"/>
          <w:i/>
          <w:color w:val="44546A"/>
          <w:sz w:val="22"/>
          <w:szCs w:val="22"/>
          <w:lang w:val="en-US"/>
        </w:rPr>
      </w:pPr>
      <w:r w:rsidRPr="00F7377C">
        <w:rPr>
          <w:rFonts w:ascii="Times New Roman" w:hAnsi="Times New Roman" w:cs="Times New Roman"/>
          <w:i/>
          <w:noProof/>
          <w:color w:val="44546A"/>
          <w:sz w:val="22"/>
          <w:szCs w:val="22"/>
          <w:lang w:val="en-US"/>
        </w:rPr>
        <w:drawing>
          <wp:inline distT="114300" distB="114300" distL="114300" distR="114300" wp14:anchorId="04A50854" wp14:editId="4A3D3B35">
            <wp:extent cx="5872163" cy="4156271"/>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872163" cy="4156271"/>
                    </a:xfrm>
                    <a:prstGeom prst="rect">
                      <a:avLst/>
                    </a:prstGeom>
                    <a:ln/>
                  </pic:spPr>
                </pic:pic>
              </a:graphicData>
            </a:graphic>
          </wp:inline>
        </w:drawing>
      </w:r>
    </w:p>
    <w:p w14:paraId="59D6EB93"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Times New Roman" w:hAnsi="Times New Roman" w:cs="Times New Roman"/>
          <w:i/>
          <w:color w:val="44546A"/>
          <w:sz w:val="22"/>
          <w:szCs w:val="22"/>
          <w:lang w:val="en-US"/>
        </w:rPr>
      </w:pPr>
      <w:r w:rsidRPr="00F7377C">
        <w:rPr>
          <w:rFonts w:ascii="Times New Roman" w:hAnsi="Times New Roman" w:cs="Times New Roman"/>
          <w:i/>
          <w:color w:val="44546A"/>
          <w:sz w:val="22"/>
          <w:szCs w:val="22"/>
          <w:lang w:val="en-US"/>
        </w:rPr>
        <w:t>Figure 1. Mercy Corps AFA Results Framework</w:t>
      </w:r>
    </w:p>
    <w:p w14:paraId="251859A5"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 </w:t>
      </w:r>
    </w:p>
    <w:p w14:paraId="3AFF218D" w14:textId="06F9D91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20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Based on the AFA Theory of Change and results framework, the final evaluation should measure progress against completion of program milestones and objectives, as well as at the three expected levels of impact at farmer, partner and ecosystem levels. The program has commissioned a range of separate impact assessment that prioritize impact and learnings at the client and partner levels, hence client level impacts need not be measured in this current scope of work but should be </w:t>
      </w:r>
      <w:r w:rsidRPr="00F7377C">
        <w:rPr>
          <w:rFonts w:ascii="Times New Roman" w:hAnsi="Times New Roman" w:cs="Times New Roman"/>
          <w:color w:val="auto"/>
          <w:sz w:val="22"/>
          <w:szCs w:val="22"/>
          <w:lang w:val="en-US"/>
        </w:rPr>
        <w:lastRenderedPageBreak/>
        <w:t>drawn on for final reporting in this scope. The final evaluation will engage actively against the AFA learning agenda and results framework in order to directly measure change (i.e. outputs and available outcomes) across institution and ecosystem levels. Depending on available data and the maturity of the project, the evaluation may prioritize a smaller set of learning questions to narrow the evaluation scope.  Client, Institution and Ecosystem-level AFA learning questions include:</w:t>
      </w:r>
    </w:p>
    <w:p w14:paraId="7253F92C" w14:textId="77777777" w:rsidR="00B66436" w:rsidRPr="00B66436" w:rsidRDefault="00B66436" w:rsidP="00B6643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2"/>
          <w:szCs w:val="22"/>
          <w:lang w:val="en-US"/>
        </w:rPr>
      </w:pPr>
      <w:r w:rsidRPr="00B66436">
        <w:rPr>
          <w:rFonts w:ascii="Times New Roman" w:hAnsi="Times New Roman" w:cs="Times New Roman"/>
          <w:b/>
          <w:color w:val="auto"/>
          <w:sz w:val="22"/>
          <w:szCs w:val="22"/>
          <w:lang w:val="en-US"/>
        </w:rPr>
        <w:t>Client (Farmer) – How does a platform approach (DFS/e-Commerce) enable scaling of digital financial and value-added services for farmers?</w:t>
      </w:r>
    </w:p>
    <w:p w14:paraId="1A8B11FC" w14:textId="77777777" w:rsidR="00B66436" w:rsidRPr="00B66436" w:rsidRDefault="00B66436" w:rsidP="00B6643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2"/>
          <w:szCs w:val="22"/>
          <w:lang w:val="en-US"/>
        </w:rPr>
      </w:pPr>
    </w:p>
    <w:p w14:paraId="643DB3E8" w14:textId="77777777" w:rsidR="00B66436" w:rsidRPr="00B66436" w:rsidRDefault="00B66436" w:rsidP="00B66436">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What impacts have AFA partners had on SHFs income, productivity and resilience to shocks?</w:t>
      </w:r>
    </w:p>
    <w:p w14:paraId="2E2BB070" w14:textId="77777777" w:rsidR="00B66436" w:rsidRPr="00B66436" w:rsidRDefault="00B66436" w:rsidP="00B66436">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What financial and value-added products and services do SHFs, including women and youth value most and why?</w:t>
      </w:r>
    </w:p>
    <w:p w14:paraId="5D1C7467" w14:textId="77777777" w:rsidR="00B66436" w:rsidRPr="00B66436" w:rsidRDefault="00B66436" w:rsidP="00B66436">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 xml:space="preserve">How does bundling of products or services impact uptake and usage of Digital Financial Services? </w:t>
      </w:r>
    </w:p>
    <w:p w14:paraId="27AA8AB5" w14:textId="77777777" w:rsidR="00B66436" w:rsidRPr="00B66436" w:rsidRDefault="00B66436" w:rsidP="00B66436">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What capability tools have the highest impact on SHF willingness and ability to use Digital Financial Services?</w:t>
      </w:r>
    </w:p>
    <w:p w14:paraId="5497FBD3" w14:textId="77777777" w:rsidR="00B66436" w:rsidRPr="0078713D" w:rsidRDefault="00B66436" w:rsidP="00B66436">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What distribution channels are most effective for delivery of digital services to SHFs?</w:t>
      </w:r>
    </w:p>
    <w:p w14:paraId="65A49EB9" w14:textId="77777777" w:rsidR="00B66436" w:rsidRPr="0078713D" w:rsidRDefault="00B66436" w:rsidP="00B66436">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What other complementary services are needed to break or address critical barriers to farm-level investment, efficiency and productivity growth?</w:t>
      </w:r>
    </w:p>
    <w:p w14:paraId="776A0D93" w14:textId="77777777" w:rsidR="00B66436" w:rsidRPr="0078713D" w:rsidRDefault="00B66436" w:rsidP="00B6643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2"/>
          <w:szCs w:val="22"/>
          <w:lang w:val="en-US"/>
        </w:rPr>
      </w:pPr>
    </w:p>
    <w:p w14:paraId="3A97AF99" w14:textId="77777777" w:rsidR="00B66436" w:rsidRPr="00B66436" w:rsidRDefault="00B66436" w:rsidP="00B6643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2"/>
          <w:szCs w:val="22"/>
          <w:lang w:val="en-US"/>
        </w:rPr>
      </w:pPr>
      <w:r w:rsidRPr="0078713D">
        <w:rPr>
          <w:rFonts w:ascii="Times New Roman" w:hAnsi="Times New Roman" w:cs="Times New Roman"/>
          <w:b/>
          <w:color w:val="auto"/>
          <w:sz w:val="22"/>
          <w:szCs w:val="22"/>
          <w:lang w:val="en-US"/>
        </w:rPr>
        <w:t>Institution – Service providers expand, improve and scale up offering digital financial and information services</w:t>
      </w:r>
      <w:r w:rsidRPr="00B66436">
        <w:rPr>
          <w:rFonts w:ascii="Times New Roman" w:hAnsi="Times New Roman" w:cs="Times New Roman"/>
          <w:b/>
          <w:color w:val="auto"/>
          <w:sz w:val="22"/>
          <w:szCs w:val="22"/>
          <w:lang w:val="en-US"/>
        </w:rPr>
        <w:t xml:space="preserve"> tailored to the needs of SHFs:</w:t>
      </w:r>
    </w:p>
    <w:p w14:paraId="68384956"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What has been the outcome of engagement with the AgriFin Accelerate program at the institutional level (e.g. number and diversity of new services increases, Innovation in models, products and channels increases, technical scope and reach of new services increases)?</w:t>
      </w:r>
    </w:p>
    <w:p w14:paraId="52625064"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 xml:space="preserve">How well has the AgriFin Accelerate program worked to understand and align objectives with partner institutions? </w:t>
      </w:r>
    </w:p>
    <w:p w14:paraId="20B2F89A"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Where have institutions derived the most value from collaboration with the AgriFin Accelerate team? Where have there been challenges?</w:t>
      </w:r>
    </w:p>
    <w:p w14:paraId="0CF7F17B"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Has engagement with the AgriFin Accelerate team changed how institutions understand and engage with smallholder farmers, and with other ecosystem partners? If so then how?</w:t>
      </w:r>
    </w:p>
    <w:p w14:paraId="1EF7C4BE"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How effectively has the program driven partnerships between diverse institutions with the aligned objective to better serve smallholder farmers?</w:t>
      </w:r>
    </w:p>
    <w:p w14:paraId="22436453"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How relevant do institutions think the bundled services developed in collaboration with the AgriFin Accelerate team are to different market segments (e.g. women, youth)?</w:t>
      </w:r>
    </w:p>
    <w:p w14:paraId="0E6C7994"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How effectively has the program integrated new processes for iterative design with partner institutions? Were institutions actively engaged in the design process? Have partner institutions on-boarded client-centric design processes into their product development cycle and internal KPI performance metrics?</w:t>
      </w:r>
    </w:p>
    <w:p w14:paraId="7280E9CB"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 xml:space="preserve">How much value have partner institutions derived from AgriFin Accelerate’s events and </w:t>
      </w:r>
      <w:proofErr w:type="spellStart"/>
      <w:r w:rsidRPr="00B66436">
        <w:rPr>
          <w:rFonts w:ascii="Times New Roman" w:hAnsi="Times New Roman" w:cs="Times New Roman"/>
          <w:color w:val="auto"/>
          <w:sz w:val="22"/>
          <w:szCs w:val="22"/>
          <w:lang w:val="en-US"/>
        </w:rPr>
        <w:t>convenings</w:t>
      </w:r>
      <w:proofErr w:type="spellEnd"/>
      <w:r w:rsidRPr="00B66436">
        <w:rPr>
          <w:rFonts w:ascii="Times New Roman" w:hAnsi="Times New Roman" w:cs="Times New Roman"/>
          <w:color w:val="auto"/>
          <w:sz w:val="22"/>
          <w:szCs w:val="22"/>
          <w:lang w:val="en-US"/>
        </w:rPr>
        <w:t>?</w:t>
      </w:r>
    </w:p>
    <w:p w14:paraId="56961871" w14:textId="77777777" w:rsidR="00B66436" w:rsidRPr="00B66436" w:rsidRDefault="00B66436" w:rsidP="00B6643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B66436">
        <w:rPr>
          <w:rFonts w:ascii="Times New Roman" w:hAnsi="Times New Roman" w:cs="Times New Roman"/>
          <w:color w:val="auto"/>
          <w:sz w:val="22"/>
          <w:szCs w:val="22"/>
          <w:lang w:val="en-US"/>
        </w:rPr>
        <w:t>How has the due diligence process contributed to success in product quality and go to market and technical strategies?</w:t>
      </w:r>
    </w:p>
    <w:p w14:paraId="57347F17" w14:textId="77777777" w:rsidR="00B66436" w:rsidRPr="00B66436" w:rsidRDefault="00B66436" w:rsidP="00B6643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p>
    <w:p w14:paraId="13FC7F9B" w14:textId="77777777" w:rsidR="00B66436" w:rsidRPr="0078713D" w:rsidRDefault="00B66436" w:rsidP="00B6643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b/>
          <w:color w:val="auto"/>
          <w:sz w:val="22"/>
          <w:szCs w:val="22"/>
          <w:lang w:val="en-US"/>
        </w:rPr>
      </w:pPr>
      <w:r w:rsidRPr="0078713D">
        <w:rPr>
          <w:rFonts w:ascii="Times New Roman" w:hAnsi="Times New Roman" w:cs="Times New Roman"/>
          <w:b/>
          <w:color w:val="auto"/>
          <w:sz w:val="22"/>
          <w:szCs w:val="22"/>
          <w:lang w:val="en-US"/>
        </w:rPr>
        <w:t>Ecosystem – Emergence of ecosystems with favorable rules, incentive and networked actors supports digital solutions to SHFs:</w:t>
      </w:r>
    </w:p>
    <w:p w14:paraId="58B82683"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How has the ecosystem benefited from the AgriFin Accelerate program (e.g. new insights on SHFs, more sophisticated learnings, crowding-in of new players)?</w:t>
      </w:r>
    </w:p>
    <w:p w14:paraId="2BAA5B30"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What ecosystem features are most important for success and expansion of digital solutions for agriculture? What are the key barriers towards growth and expansion?</w:t>
      </w:r>
    </w:p>
    <w:p w14:paraId="417913FC"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 xml:space="preserve">How has the program utilized market intelligence, technical </w:t>
      </w:r>
      <w:proofErr w:type="spellStart"/>
      <w:r w:rsidRPr="0078713D">
        <w:rPr>
          <w:rFonts w:ascii="Times New Roman" w:hAnsi="Times New Roman" w:cs="Times New Roman"/>
          <w:color w:val="auto"/>
          <w:sz w:val="22"/>
          <w:szCs w:val="22"/>
          <w:lang w:val="en-US"/>
        </w:rPr>
        <w:t>convenings</w:t>
      </w:r>
      <w:proofErr w:type="spellEnd"/>
      <w:r w:rsidRPr="0078713D">
        <w:rPr>
          <w:rFonts w:ascii="Times New Roman" w:hAnsi="Times New Roman" w:cs="Times New Roman"/>
          <w:color w:val="auto"/>
          <w:sz w:val="22"/>
          <w:szCs w:val="22"/>
          <w:lang w:val="en-US"/>
        </w:rPr>
        <w:t>, dissemination and partnerships to help to shape the ecosystem featured and “crowd in” activity in the space?</w:t>
      </w:r>
    </w:p>
    <w:p w14:paraId="5D007254"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How effectively has the program worked to catalyze investment in DFS focused on smallholder farmers at the ecosystem level?</w:t>
      </w:r>
    </w:p>
    <w:p w14:paraId="752EDACD"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How effectively has the program fostered collaboration between divergent players in the market to offer bundled services or to develop a more conducive ecosystem?</w:t>
      </w:r>
    </w:p>
    <w:p w14:paraId="218CE5F5"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What new models and solutions have developed as a result of diverse players collaborating under this program?</w:t>
      </w:r>
    </w:p>
    <w:p w14:paraId="355EA8AB"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lastRenderedPageBreak/>
        <w:t>How effectively has the program identified and addressed systemic challenges to market growth? In which markets has the team been more successful in innovating to address these failures? What other levers or interventions are needed and which type organizations are best placed to intervene?</w:t>
      </w:r>
    </w:p>
    <w:p w14:paraId="0B797899"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To what extent are program learnings and tools being disseminated to and utilized by key ecosystem players? What impact is the program’s learning having on the development of the ecosystem?</w:t>
      </w:r>
    </w:p>
    <w:p w14:paraId="4E143C34" w14:textId="77777777" w:rsidR="00B66436" w:rsidRPr="0078713D" w:rsidRDefault="00B66436" w:rsidP="00B66436">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color w:val="auto"/>
          <w:sz w:val="22"/>
          <w:szCs w:val="22"/>
          <w:lang w:val="en-US"/>
        </w:rPr>
      </w:pPr>
      <w:r w:rsidRPr="0078713D">
        <w:rPr>
          <w:rFonts w:ascii="Times New Roman" w:hAnsi="Times New Roman" w:cs="Times New Roman"/>
          <w:color w:val="auto"/>
          <w:sz w:val="22"/>
          <w:szCs w:val="22"/>
          <w:lang w:val="en-US"/>
        </w:rPr>
        <w:t>How does ecosystem engagement and outcomes differ across markets in which it engages?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0394F9EA"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before="200" w:after="20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Mercy Corps requires the services of a research firm with extensive experience designing, and implementing high caliber program evaluations, including ecosystem studies, to conduct an end-line impact evaluation of the AFA program, in order to provide a final evaluation of program performance, answering specific program learning questions at the farmer, partner and ecosystem levels. As part of this engagement, the consultants will be expected to conduct the below activities:</w:t>
      </w:r>
    </w:p>
    <w:p w14:paraId="05442688" w14:textId="77777777" w:rsidR="00F7377C" w:rsidRPr="00F7377C" w:rsidRDefault="00F7377C" w:rsidP="00F7377C">
      <w:p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To complete the AFA final program evaluation, the selected evaluator should propose a framework / methodology that includes: </w:t>
      </w:r>
    </w:p>
    <w:p w14:paraId="2286DC71" w14:textId="77777777" w:rsidR="00F7377C" w:rsidRPr="00F7377C" w:rsidRDefault="00F7377C" w:rsidP="004F649D">
      <w:pPr>
        <w:numPr>
          <w:ilvl w:val="0"/>
          <w:numId w:val="21"/>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A mixed-methods approach including quantitative and qualitative data sources. Our emphasis is on the reliability and validity of information and analysis, rather than a preference for a specific data type or collection approach;</w:t>
      </w:r>
    </w:p>
    <w:p w14:paraId="2AC394E6" w14:textId="77777777" w:rsidR="00F7377C" w:rsidRPr="00F7377C" w:rsidRDefault="00F7377C" w:rsidP="004F649D">
      <w:pPr>
        <w:numPr>
          <w:ilvl w:val="0"/>
          <w:numId w:val="21"/>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Primary data collection with key stakeholder groups at the partner and ecosystem levels. The MasterCard Foundation values active and meaningful participation of program stakeholders in the evaluation, as well as creative means of communicating evaluation results back to stakeholders at multiple levels;</w:t>
      </w:r>
    </w:p>
    <w:p w14:paraId="2C33F7B9" w14:textId="77777777" w:rsidR="00F7377C" w:rsidRPr="00F7377C" w:rsidRDefault="00F7377C" w:rsidP="004F649D">
      <w:pPr>
        <w:numPr>
          <w:ilvl w:val="0"/>
          <w:numId w:val="21"/>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A global overview, with a geographic focus of Kenya, Tanzania and Zambia, as key areas of influence and impact, with a view to regional impacts where possible;</w:t>
      </w:r>
    </w:p>
    <w:p w14:paraId="60B34893" w14:textId="77777777" w:rsidR="00F7377C" w:rsidRPr="00F7377C" w:rsidRDefault="00F7377C" w:rsidP="004F649D">
      <w:pPr>
        <w:numPr>
          <w:ilvl w:val="0"/>
          <w:numId w:val="21"/>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At the partner level, research that measures:</w:t>
      </w:r>
    </w:p>
    <w:p w14:paraId="58F41D79" w14:textId="77777777" w:rsidR="00F7377C" w:rsidRPr="00F7377C" w:rsidRDefault="00F7377C" w:rsidP="004F649D">
      <w:pPr>
        <w:numPr>
          <w:ilvl w:val="1"/>
          <w:numId w:val="21"/>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the intended and unintended consequences of AFA-led or supported interventions across partner engagements (i.e. product, plans, projects, outreach, strategy, partnerships and learnings) and any changes invoked by those interventions; and</w:t>
      </w:r>
    </w:p>
    <w:p w14:paraId="281B7E47" w14:textId="77777777" w:rsidR="00F7377C" w:rsidRPr="00F7377C" w:rsidRDefault="00F7377C" w:rsidP="004F649D">
      <w:pPr>
        <w:numPr>
          <w:ilvl w:val="1"/>
          <w:numId w:val="21"/>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how program partners have been influenced by AFA program learnings;</w:t>
      </w:r>
    </w:p>
    <w:p w14:paraId="41C84308" w14:textId="77777777" w:rsidR="00F7377C" w:rsidRPr="00F7377C" w:rsidRDefault="00F7377C" w:rsidP="004F649D">
      <w:pPr>
        <w:numPr>
          <w:ilvl w:val="0"/>
          <w:numId w:val="21"/>
        </w:numPr>
        <w:pBdr>
          <w:top w:val="none" w:sz="0" w:space="0" w:color="auto"/>
          <w:left w:val="none" w:sz="0" w:space="0" w:color="auto"/>
          <w:bottom w:val="none" w:sz="0" w:space="0" w:color="auto"/>
          <w:right w:val="none" w:sz="0" w:space="0" w:color="auto"/>
          <w:between w:val="none" w:sz="0" w:space="0" w:color="auto"/>
        </w:pBdr>
        <w:spacing w:after="0"/>
        <w:contextualSpacing/>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At the ecosystem level, research guided by the initial ecosystem studies, assess the current condition of the environment to support digitally-enabled service provision to smallholder farmers, indicating any changes in the environment where the AFA program has contributed toward the growth and change in ecosystems, as well as clearly indicating which problems still exist;</w:t>
      </w:r>
    </w:p>
    <w:p w14:paraId="3AC0708F" w14:textId="77777777" w:rsidR="00F7377C" w:rsidRPr="00F7377C" w:rsidRDefault="00F7377C" w:rsidP="004F649D">
      <w:pPr>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To build on the work being done on the ecosystem studies, the research should incorporate Social Network Analysis (SNA) to enrich output from previous ecosystem studies to:</w:t>
      </w:r>
    </w:p>
    <w:p w14:paraId="03AAF1F3" w14:textId="77777777" w:rsidR="00F7377C" w:rsidRPr="00F7377C" w:rsidRDefault="00F7377C" w:rsidP="004F649D">
      <w:pPr>
        <w:numPr>
          <w:ilvl w:val="1"/>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Better understand the differentiated roles played by different actors in the AgriFin stakeholder ecosystem, during and after innovation processes</w:t>
      </w:r>
    </w:p>
    <w:p w14:paraId="50109C24" w14:textId="77777777" w:rsidR="00F7377C" w:rsidRPr="00F7377C" w:rsidRDefault="00F7377C" w:rsidP="004F649D">
      <w:pPr>
        <w:numPr>
          <w:ilvl w:val="1"/>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Better understand the impact pathways created when change in one stakeholder or group of stakeholders, triggers impact across other domains of the ecosystem</w:t>
      </w:r>
    </w:p>
    <w:p w14:paraId="2842F901" w14:textId="77777777" w:rsidR="00F7377C" w:rsidRPr="00F7377C" w:rsidRDefault="00F7377C" w:rsidP="004F649D">
      <w:pPr>
        <w:numPr>
          <w:ilvl w:val="1"/>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Validate stakeholders’ views on actors’ relationships already established by existing program learnings and case studies</w:t>
      </w:r>
    </w:p>
    <w:p w14:paraId="2C5772BB" w14:textId="77777777" w:rsidR="00F7377C" w:rsidRPr="00F7377C" w:rsidRDefault="00F7377C" w:rsidP="004F649D">
      <w:pPr>
        <w:numPr>
          <w:ilvl w:val="1"/>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Understand how other actors (outside of program partners) are influenced by AFA program learnings</w:t>
      </w:r>
    </w:p>
    <w:p w14:paraId="31D941D5" w14:textId="77777777" w:rsidR="00F7377C" w:rsidRPr="00F7377C" w:rsidRDefault="00F7377C" w:rsidP="004F649D">
      <w:pPr>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Where feasible, measure return of investment and other business viability metrics and KPIs as appropriate to understand impacts at AFA partner levels.</w:t>
      </w:r>
    </w:p>
    <w:p w14:paraId="76BF504F" w14:textId="77777777" w:rsidR="00F7377C" w:rsidRPr="00F7377C" w:rsidRDefault="00F7377C" w:rsidP="004F649D">
      <w:pPr>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 xml:space="preserve">The evaluator should consolidate evidence of separate impact evaluations at the farmer level across AFA partners, including those directly completed by AFA and also by third parties under separate funding where deemed appropriate and agreed with AFA management. The evaluators should draw conclusions on the program’s impact </w:t>
      </w:r>
      <w:r w:rsidRPr="00F7377C">
        <w:rPr>
          <w:rFonts w:ascii="Times New Roman" w:hAnsi="Times New Roman" w:cs="Times New Roman"/>
          <w:color w:val="auto"/>
          <w:sz w:val="22"/>
          <w:szCs w:val="22"/>
          <w:lang w:val="en-US"/>
        </w:rPr>
        <w:lastRenderedPageBreak/>
        <w:t>at the farmer level, including around gender, based on these studies and present in this study, including facets of impact such as active use of services, gender and other elements linked to the AFA learning agenda;</w:t>
      </w:r>
    </w:p>
    <w:p w14:paraId="2478CEED" w14:textId="77777777" w:rsidR="00F7377C" w:rsidRPr="00F7377C" w:rsidRDefault="00F7377C" w:rsidP="004F649D">
      <w:pPr>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Where possible, the evaluator should include an evaluation of the potential for youth farmer inclusion and youth job creation in rural areas, which is the current strategic focus for the MasterCard Foundation and which has been touched on tangentially by some AFA activities;</w:t>
      </w:r>
    </w:p>
    <w:p w14:paraId="500981AF" w14:textId="7C1441CF" w:rsidR="00432260" w:rsidRPr="00886E74" w:rsidRDefault="00F7377C" w:rsidP="004F649D">
      <w:pPr>
        <w:numPr>
          <w:ilvl w:val="0"/>
          <w:numId w:val="2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2"/>
          <w:szCs w:val="22"/>
          <w:lang w:val="en-US"/>
        </w:rPr>
      </w:pPr>
      <w:r w:rsidRPr="00F7377C">
        <w:rPr>
          <w:rFonts w:ascii="Times New Roman" w:hAnsi="Times New Roman" w:cs="Times New Roman"/>
          <w:color w:val="auto"/>
          <w:sz w:val="22"/>
          <w:szCs w:val="22"/>
          <w:lang w:val="en-US"/>
        </w:rPr>
        <w:t>Other activities, as agreed with the AFA management team and the MasterCard Foundation with the consultants, as related to the AFA impact and learning agenda.</w:t>
      </w:r>
    </w:p>
    <w:p w14:paraId="17C0E92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EBD10B9" w14:textId="2FD13C49"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Deliverables</w:t>
      </w:r>
    </w:p>
    <w:p w14:paraId="5B560DDD" w14:textId="77777777" w:rsidR="00886E74" w:rsidRPr="00886E74" w:rsidRDefault="00886E74" w:rsidP="00886E74">
      <w:pPr>
        <w:pBdr>
          <w:top w:val="none" w:sz="0" w:space="0" w:color="auto"/>
          <w:left w:val="none" w:sz="0" w:space="0" w:color="auto"/>
          <w:bottom w:val="none" w:sz="0" w:space="0" w:color="auto"/>
          <w:right w:val="none" w:sz="0" w:space="0" w:color="auto"/>
          <w:between w:val="none" w:sz="0" w:space="0" w:color="auto"/>
        </w:pBdr>
        <w:spacing w:before="200" w:after="0"/>
        <w:jc w:val="both"/>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The consultant will work to produce and support production of the following deliverables, in close collaboration with AgriFin teams and relevant partners:</w:t>
      </w:r>
    </w:p>
    <w:p w14:paraId="0F5EAC08" w14:textId="77777777" w:rsidR="00886E74" w:rsidRPr="00886E74" w:rsidRDefault="00886E74" w:rsidP="004F649D">
      <w:pPr>
        <w:numPr>
          <w:ilvl w:val="0"/>
          <w:numId w:val="23"/>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886E74">
        <w:rPr>
          <w:rFonts w:ascii="Times New Roman" w:hAnsi="Times New Roman" w:cs="Times New Roman"/>
          <w:b/>
          <w:color w:val="auto"/>
          <w:sz w:val="22"/>
          <w:szCs w:val="22"/>
          <w:lang w:val="en-US"/>
        </w:rPr>
        <w:t>Final Ecosystem Impact Review &amp; Program Evaluation Inception Report:</w:t>
      </w:r>
      <w:r w:rsidRPr="00886E74">
        <w:rPr>
          <w:rFonts w:ascii="Times New Roman" w:hAnsi="Times New Roman" w:cs="Times New Roman"/>
          <w:color w:val="auto"/>
          <w:sz w:val="22"/>
          <w:szCs w:val="22"/>
          <w:lang w:val="en-US"/>
        </w:rPr>
        <w:t xml:space="preserve"> In the inception phase of the evaluation, the evaluator is expected to review the available documentation for the evaluation and prepare an Inception Report/Work Plan. The report should not exceed thirty (30) pages and should include the following elements:</w:t>
      </w:r>
    </w:p>
    <w:p w14:paraId="3DFA7317" w14:textId="77777777" w:rsidR="00886E74" w:rsidRPr="00886E74" w:rsidRDefault="00886E74" w:rsidP="004F649D">
      <w:pPr>
        <w:numPr>
          <w:ilvl w:val="1"/>
          <w:numId w:val="23"/>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Overview of project</w:t>
      </w:r>
    </w:p>
    <w:p w14:paraId="4C1E1E6F" w14:textId="77777777" w:rsidR="00886E74" w:rsidRPr="00886E74" w:rsidRDefault="00886E74" w:rsidP="004F649D">
      <w:pPr>
        <w:numPr>
          <w:ilvl w:val="1"/>
          <w:numId w:val="23"/>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Purpose of the Evaluation</w:t>
      </w:r>
    </w:p>
    <w:p w14:paraId="3A826370" w14:textId="77777777" w:rsidR="00886E74" w:rsidRPr="00886E74" w:rsidRDefault="00886E74" w:rsidP="004F649D">
      <w:pPr>
        <w:numPr>
          <w:ilvl w:val="1"/>
          <w:numId w:val="23"/>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Evaluation Framework / Key Questions</w:t>
      </w:r>
    </w:p>
    <w:p w14:paraId="372D94BB" w14:textId="77777777" w:rsidR="00886E74" w:rsidRPr="00886E74" w:rsidRDefault="00886E74" w:rsidP="004F649D">
      <w:pPr>
        <w:numPr>
          <w:ilvl w:val="1"/>
          <w:numId w:val="23"/>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Evaluation Approach and Methods, including data collection and analysis. Draft data collection tools including any surveys and interview protocols, should be included in the appendices to the report</w:t>
      </w:r>
    </w:p>
    <w:p w14:paraId="6AAFA9FD" w14:textId="77777777" w:rsidR="00886E74" w:rsidRPr="00886E74" w:rsidRDefault="00886E74" w:rsidP="004F649D">
      <w:pPr>
        <w:numPr>
          <w:ilvl w:val="1"/>
          <w:numId w:val="23"/>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Data analysis plan, addressing how the primary and secondary data will be systematically analyzed to address the learning questions</w:t>
      </w:r>
    </w:p>
    <w:p w14:paraId="701949DD" w14:textId="77777777" w:rsidR="00886E74" w:rsidRPr="00886E74" w:rsidRDefault="00886E74" w:rsidP="004F649D">
      <w:pPr>
        <w:numPr>
          <w:ilvl w:val="1"/>
          <w:numId w:val="23"/>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Activities and timeline, including roles and responsibilities of all team members</w:t>
      </w:r>
    </w:p>
    <w:p w14:paraId="1533A643" w14:textId="77777777" w:rsidR="00886E74" w:rsidRPr="00886E74" w:rsidRDefault="00886E74" w:rsidP="00886E74">
      <w:p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 xml:space="preserve">Timely feedback on the inception report will be provided by AFA and the </w:t>
      </w:r>
      <w:proofErr w:type="spellStart"/>
      <w:r w:rsidRPr="00886E74">
        <w:rPr>
          <w:rFonts w:ascii="Times New Roman" w:hAnsi="Times New Roman" w:cs="Times New Roman"/>
          <w:color w:val="auto"/>
          <w:sz w:val="22"/>
          <w:szCs w:val="22"/>
          <w:lang w:val="en-US"/>
        </w:rPr>
        <w:t>Mastercard</w:t>
      </w:r>
      <w:proofErr w:type="spellEnd"/>
      <w:r w:rsidRPr="00886E74">
        <w:rPr>
          <w:rFonts w:ascii="Times New Roman" w:hAnsi="Times New Roman" w:cs="Times New Roman"/>
          <w:color w:val="auto"/>
          <w:sz w:val="22"/>
          <w:szCs w:val="22"/>
          <w:lang w:val="en-US"/>
        </w:rPr>
        <w:t xml:space="preserve"> Foundation; a final revised version of the Inception Report must be approved before the evaluation proceeds.</w:t>
      </w:r>
    </w:p>
    <w:p w14:paraId="797E1F4B" w14:textId="77777777" w:rsidR="00886E74" w:rsidRPr="00886E74" w:rsidRDefault="00886E74" w:rsidP="004F649D">
      <w:pPr>
        <w:numPr>
          <w:ilvl w:val="0"/>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886E74">
        <w:rPr>
          <w:rFonts w:ascii="Times New Roman" w:hAnsi="Times New Roman" w:cs="Times New Roman"/>
          <w:b/>
          <w:color w:val="auto"/>
          <w:sz w:val="22"/>
          <w:szCs w:val="22"/>
          <w:lang w:val="en-US"/>
        </w:rPr>
        <w:t>Final Ecosystem Impact Review &amp; Program Evaluation Report</w:t>
      </w:r>
      <w:r w:rsidRPr="00886E74">
        <w:rPr>
          <w:rFonts w:ascii="Times New Roman" w:hAnsi="Times New Roman" w:cs="Times New Roman"/>
          <w:color w:val="auto"/>
          <w:sz w:val="22"/>
          <w:szCs w:val="22"/>
          <w:lang w:val="en-US"/>
        </w:rPr>
        <w:t>; The draft evaluation report should not exceed fifty (50) pages and should include the following sections:</w:t>
      </w:r>
    </w:p>
    <w:p w14:paraId="768380F8" w14:textId="77777777" w:rsidR="00886E74" w:rsidRPr="00886E74" w:rsidRDefault="00886E74" w:rsidP="004F649D">
      <w:pPr>
        <w:numPr>
          <w:ilvl w:val="1"/>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Executive Summary (maximum two pages)</w:t>
      </w:r>
    </w:p>
    <w:p w14:paraId="2DF7ACB2" w14:textId="77777777" w:rsidR="00886E74" w:rsidRPr="00886E74" w:rsidRDefault="00886E74" w:rsidP="004F649D">
      <w:pPr>
        <w:numPr>
          <w:ilvl w:val="1"/>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Project introduction/background</w:t>
      </w:r>
    </w:p>
    <w:p w14:paraId="11A8F339" w14:textId="77777777" w:rsidR="00886E74" w:rsidRPr="00886E74" w:rsidRDefault="00886E74" w:rsidP="004F649D">
      <w:pPr>
        <w:numPr>
          <w:ilvl w:val="1"/>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Evaluation Purpose, including evaluation framework/learning questions</w:t>
      </w:r>
    </w:p>
    <w:p w14:paraId="19877AEC" w14:textId="77777777" w:rsidR="00886E74" w:rsidRPr="00886E74" w:rsidRDefault="00886E74" w:rsidP="004F649D">
      <w:pPr>
        <w:numPr>
          <w:ilvl w:val="1"/>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Evaluation approach and methodology, including limitations</w:t>
      </w:r>
    </w:p>
    <w:p w14:paraId="7D835F76" w14:textId="77777777" w:rsidR="00886E74" w:rsidRPr="00886E74" w:rsidRDefault="00886E74" w:rsidP="004F649D">
      <w:pPr>
        <w:numPr>
          <w:ilvl w:val="1"/>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Findings, organized in a clear and logical fashion that corresponds to the evaluation questions, assessment criteria, and overall project.</w:t>
      </w:r>
    </w:p>
    <w:p w14:paraId="33F226C2" w14:textId="77777777" w:rsidR="00886E74" w:rsidRPr="00886E74" w:rsidRDefault="00886E74" w:rsidP="004F649D">
      <w:pPr>
        <w:numPr>
          <w:ilvl w:val="1"/>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Conclusions</w:t>
      </w:r>
    </w:p>
    <w:p w14:paraId="6BC5A1BD" w14:textId="77777777" w:rsidR="00886E74" w:rsidRPr="00886E74" w:rsidRDefault="00886E74" w:rsidP="004F649D">
      <w:pPr>
        <w:numPr>
          <w:ilvl w:val="1"/>
          <w:numId w:val="26"/>
        </w:num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Recommendations</w:t>
      </w:r>
    </w:p>
    <w:p w14:paraId="17DAB185" w14:textId="77777777" w:rsidR="00886E74" w:rsidRPr="00886E74" w:rsidRDefault="00886E74" w:rsidP="00886E74">
      <w:p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Annexes to the report (independent of document page count) should include:</w:t>
      </w:r>
    </w:p>
    <w:p w14:paraId="3BD8F77C" w14:textId="77777777" w:rsidR="00886E74" w:rsidRPr="00886E74" w:rsidRDefault="00886E74" w:rsidP="004F649D">
      <w:pPr>
        <w:numPr>
          <w:ilvl w:val="0"/>
          <w:numId w:val="24"/>
        </w:numPr>
        <w:pBdr>
          <w:top w:val="none" w:sz="0" w:space="0" w:color="auto"/>
          <w:left w:val="none" w:sz="0" w:space="0" w:color="auto"/>
          <w:bottom w:val="none" w:sz="0" w:space="0" w:color="auto"/>
          <w:right w:val="none" w:sz="0" w:space="0" w:color="auto"/>
          <w:between w:val="none" w:sz="0" w:space="0" w:color="auto"/>
        </w:pBdr>
        <w:spacing w:after="0"/>
        <w:ind w:left="1440"/>
        <w:jc w:val="both"/>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Terms of Reference for the evaluation</w:t>
      </w:r>
    </w:p>
    <w:p w14:paraId="0D9B246B" w14:textId="77777777" w:rsidR="00886E74" w:rsidRPr="00886E74" w:rsidRDefault="00886E74" w:rsidP="004F649D">
      <w:pPr>
        <w:numPr>
          <w:ilvl w:val="0"/>
          <w:numId w:val="24"/>
        </w:numPr>
        <w:pBdr>
          <w:top w:val="none" w:sz="0" w:space="0" w:color="auto"/>
          <w:left w:val="none" w:sz="0" w:space="0" w:color="auto"/>
          <w:bottom w:val="none" w:sz="0" w:space="0" w:color="auto"/>
          <w:right w:val="none" w:sz="0" w:space="0" w:color="auto"/>
          <w:between w:val="none" w:sz="0" w:space="0" w:color="auto"/>
        </w:pBdr>
        <w:spacing w:after="0"/>
        <w:ind w:left="1440"/>
        <w:jc w:val="both"/>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Any further supporting information on the methodology, including individuals/groups consulted, documents reviewed, compiled monitoring data, etc.</w:t>
      </w:r>
    </w:p>
    <w:p w14:paraId="13D0E495" w14:textId="77777777" w:rsidR="00886E74" w:rsidRPr="00886E74" w:rsidRDefault="00886E74" w:rsidP="00886E74">
      <w:pPr>
        <w:pBdr>
          <w:top w:val="none" w:sz="0" w:space="0" w:color="auto"/>
          <w:left w:val="none" w:sz="0" w:space="0" w:color="auto"/>
          <w:bottom w:val="none" w:sz="0" w:space="0" w:color="auto"/>
          <w:right w:val="none" w:sz="0" w:space="0" w:color="auto"/>
          <w:between w:val="none" w:sz="0" w:space="0" w:color="auto"/>
        </w:pBdr>
        <w:spacing w:after="0"/>
        <w:ind w:left="720"/>
        <w:jc w:val="both"/>
        <w:rPr>
          <w:rFonts w:ascii="Times New Roman" w:hAnsi="Times New Roman" w:cs="Times New Roman"/>
          <w:color w:val="auto"/>
          <w:sz w:val="22"/>
          <w:szCs w:val="22"/>
          <w:lang w:val="en-US"/>
        </w:rPr>
      </w:pPr>
      <w:r w:rsidRPr="00886E74">
        <w:rPr>
          <w:rFonts w:ascii="Times New Roman" w:hAnsi="Times New Roman" w:cs="Times New Roman"/>
          <w:color w:val="auto"/>
          <w:sz w:val="22"/>
          <w:szCs w:val="22"/>
          <w:lang w:val="en-US"/>
        </w:rPr>
        <w:t xml:space="preserve">The Consultant may be asked to present the draft report in person to Mercy Corps AFA in Nairobi. Timely feedback on the draft report will be provided by AFA and the </w:t>
      </w:r>
      <w:proofErr w:type="spellStart"/>
      <w:r w:rsidRPr="00886E74">
        <w:rPr>
          <w:rFonts w:ascii="Times New Roman" w:hAnsi="Times New Roman" w:cs="Times New Roman"/>
          <w:color w:val="auto"/>
          <w:sz w:val="22"/>
          <w:szCs w:val="22"/>
          <w:lang w:val="en-US"/>
        </w:rPr>
        <w:t>Mastercard</w:t>
      </w:r>
      <w:proofErr w:type="spellEnd"/>
      <w:r w:rsidRPr="00886E74">
        <w:rPr>
          <w:rFonts w:ascii="Times New Roman" w:hAnsi="Times New Roman" w:cs="Times New Roman"/>
          <w:color w:val="auto"/>
          <w:sz w:val="22"/>
          <w:szCs w:val="22"/>
          <w:lang w:val="en-US"/>
        </w:rPr>
        <w:t xml:space="preserve"> Foundation.</w:t>
      </w:r>
    </w:p>
    <w:p w14:paraId="4FDDD516" w14:textId="77777777" w:rsidR="00886E74" w:rsidRPr="00886E74" w:rsidRDefault="00886E74" w:rsidP="004F649D">
      <w:pPr>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886E74">
        <w:rPr>
          <w:rFonts w:ascii="Times New Roman" w:hAnsi="Times New Roman" w:cs="Times New Roman"/>
          <w:b/>
          <w:color w:val="auto"/>
          <w:sz w:val="22"/>
          <w:szCs w:val="22"/>
          <w:lang w:val="en-US"/>
        </w:rPr>
        <w:t>Evaluation Updates:</w:t>
      </w:r>
      <w:r w:rsidRPr="00886E74">
        <w:rPr>
          <w:rFonts w:ascii="Times New Roman" w:hAnsi="Times New Roman" w:cs="Times New Roman"/>
          <w:color w:val="auto"/>
          <w:sz w:val="22"/>
          <w:szCs w:val="22"/>
          <w:lang w:val="en-US"/>
        </w:rPr>
        <w:t xml:space="preserve"> In addition to these deliverables, the evaluator will engage in regular briefing updates – either by phone or by email – with Mercy Corps and The MasterCard Foundation.</w:t>
      </w:r>
    </w:p>
    <w:p w14:paraId="2D06BB84" w14:textId="16A107CF" w:rsidR="00A64D6B" w:rsidRPr="00886E74" w:rsidRDefault="00886E74" w:rsidP="004F649D">
      <w:pPr>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Calibri" w:hAnsi="Times New Roman" w:cs="Times New Roman"/>
          <w:color w:val="auto"/>
          <w:sz w:val="22"/>
          <w:szCs w:val="22"/>
          <w:lang w:val="en-US"/>
        </w:rPr>
      </w:pPr>
      <w:r w:rsidRPr="00886E74">
        <w:rPr>
          <w:rFonts w:ascii="Times New Roman" w:hAnsi="Times New Roman" w:cs="Times New Roman"/>
          <w:b/>
          <w:color w:val="auto"/>
          <w:sz w:val="22"/>
          <w:szCs w:val="22"/>
          <w:lang w:val="en-US"/>
        </w:rPr>
        <w:lastRenderedPageBreak/>
        <w:t>All other related work product:</w:t>
      </w:r>
      <w:r w:rsidRPr="00886E74">
        <w:rPr>
          <w:rFonts w:ascii="Times New Roman" w:hAnsi="Times New Roman" w:cs="Times New Roman"/>
          <w:color w:val="auto"/>
          <w:sz w:val="22"/>
          <w:szCs w:val="22"/>
          <w:lang w:val="en-US"/>
        </w:rPr>
        <w:t xml:space="preserve"> All materials related to this evaluation, including evaluation insights should already be incorporated in the final evaluation report, but separate documents may be submitted to provide the full body of work on the evaluation. </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1" w:name="_MON_1653200847"/>
    <w:bookmarkEnd w:id="11"/>
    <w:p w14:paraId="47478FE3" w14:textId="77777777" w:rsidR="00456A21" w:rsidRPr="000944CB" w:rsidRDefault="00B76F72">
      <w:pPr>
        <w:widowControl w:val="0"/>
        <w:spacing w:after="160" w:line="240" w:lineRule="auto"/>
        <w:jc w:val="center"/>
        <w:rPr>
          <w:rFonts w:ascii="Times New Roman" w:hAnsi="Times New Roman" w:cs="Times New Roman"/>
          <w:b/>
          <w:color w:val="auto"/>
          <w:sz w:val="22"/>
          <w:szCs w:val="22"/>
          <w:highlight w:val="yellow"/>
        </w:rPr>
      </w:pPr>
      <w:r w:rsidRPr="00B76F72">
        <w:rPr>
          <w:rFonts w:ascii="Times New Roman" w:hAnsi="Times New Roman" w:cs="Times New Roman"/>
          <w:b/>
          <w:noProof/>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pt;height:49pt;mso-width-percent:0;mso-height-percent:0;mso-width-percent:0;mso-height-percent:0" o:ole="">
            <v:imagedata r:id="rId17" o:title=""/>
          </v:shape>
          <o:OLEObject Type="Embed" ProgID="Word.Document.12" ShapeID="_x0000_i1025" DrawAspect="Icon" ObjectID="_1656410426" r:id="rId18">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B76F72" w:rsidP="00A64D6B">
      <w:pPr>
        <w:widowControl w:val="0"/>
        <w:spacing w:after="160" w:line="288" w:lineRule="auto"/>
        <w:rPr>
          <w:rFonts w:ascii="Times New Roman" w:hAnsi="Times New Roman" w:cs="Times New Roman"/>
          <w:b/>
          <w:color w:val="auto"/>
          <w:sz w:val="22"/>
          <w:szCs w:val="22"/>
          <w:highlight w:val="yellow"/>
        </w:rPr>
      </w:pPr>
      <w:r w:rsidRPr="00A64D6B">
        <w:rPr>
          <w:noProof/>
        </w:rPr>
        <w:object w:dxaOrig="1508" w:dyaOrig="984" w14:anchorId="05F288A0">
          <v:shape id="_x0000_i1026" type="#_x0000_t75" alt="" style="width:76pt;height:49pt;mso-width-percent:0;mso-height-percent:0;mso-width-percent:0;mso-height-percent:0" o:ole="">
            <v:imagedata r:id="rId19" o:title=""/>
          </v:shape>
          <o:OLEObject Type="Embed" ProgID="Word.Document.12" ShapeID="_x0000_i1026" DrawAspect="Icon" ObjectID="_1656410427" r:id="rId20">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4" w:name="_MON_1655807759"/>
    <w:bookmarkEnd w:id="14"/>
    <w:p w14:paraId="609CC000" w14:textId="0DEB22AF" w:rsidR="00456A21" w:rsidRPr="000944CB" w:rsidRDefault="0078713D">
      <w:pPr>
        <w:widowControl w:val="0"/>
        <w:spacing w:after="160" w:line="288" w:lineRule="auto"/>
        <w:jc w:val="center"/>
        <w:rPr>
          <w:rFonts w:ascii="Times New Roman" w:hAnsi="Times New Roman" w:cs="Times New Roman"/>
          <w:color w:val="auto"/>
          <w:sz w:val="22"/>
          <w:szCs w:val="22"/>
          <w:highlight w:val="yellow"/>
        </w:rPr>
      </w:pPr>
      <w:r w:rsidRPr="00B76F72">
        <w:rPr>
          <w:rFonts w:ascii="Times New Roman" w:hAnsi="Times New Roman" w:cs="Times New Roman"/>
          <w:noProof/>
          <w:color w:val="auto"/>
          <w:sz w:val="22"/>
          <w:szCs w:val="22"/>
          <w:highlight w:val="yellow"/>
        </w:rPr>
        <w:object w:dxaOrig="1508" w:dyaOrig="984" w14:anchorId="1BB29AFF">
          <v:shape id="_x0000_i1027" type="#_x0000_t75" alt="" style="width:75pt;height:48pt" o:ole="">
            <v:imagedata r:id="rId21" o:title=""/>
          </v:shape>
          <o:OLEObject Type="Embed" ProgID="Excel.Sheet.12" ShapeID="_x0000_i1027" DrawAspect="Icon" ObjectID="_1656410428" r:id="rId22"/>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default" r:id="rId23"/>
      <w:footerReference w:type="default" r:id="rId24"/>
      <w:pgSz w:w="12240" w:h="15840"/>
      <w:pgMar w:top="1440" w:right="720" w:bottom="1440" w:left="72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4EC4D" w16cid:durableId="22B1B0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EB700" w14:textId="77777777" w:rsidR="00B34C17" w:rsidRDefault="00B34C17">
      <w:pPr>
        <w:spacing w:after="0" w:line="240" w:lineRule="auto"/>
      </w:pPr>
      <w:r>
        <w:separator/>
      </w:r>
    </w:p>
  </w:endnote>
  <w:endnote w:type="continuationSeparator" w:id="0">
    <w:p w14:paraId="2B71B1FD" w14:textId="77777777" w:rsidR="00B34C17" w:rsidRDefault="00B3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184A" w14:textId="09EEAD4B" w:rsidR="00456A21" w:rsidRDefault="00E17946">
    <w:r>
      <w:t>Tender No;</w:t>
    </w:r>
    <w:r w:rsidRPr="00E17946">
      <w:t xml:space="preserve"> MC-AFA/NBO/0</w:t>
    </w:r>
    <w:r w:rsidR="00F7377C">
      <w:t>34</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4805D0">
      <w:rPr>
        <w:noProof/>
      </w:rPr>
      <w:t>3</w:t>
    </w:r>
    <w:r w:rsidR="00C92264">
      <w:fldChar w:fldCharType="end"/>
    </w:r>
    <w:r w:rsidR="00C92264">
      <w:t xml:space="preserve"> of </w:t>
    </w:r>
    <w:r w:rsidR="00C92264">
      <w:fldChar w:fldCharType="begin"/>
    </w:r>
    <w:r w:rsidR="00C92264">
      <w:instrText>NUMPAGES</w:instrText>
    </w:r>
    <w:r w:rsidR="00C92264">
      <w:fldChar w:fldCharType="separate"/>
    </w:r>
    <w:r w:rsidR="004805D0">
      <w:rPr>
        <w:noProof/>
      </w:rPr>
      <w:t>17</w:t>
    </w:r>
    <w:r w:rsidR="00C9226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5362C" w14:textId="77777777" w:rsidR="00B34C17" w:rsidRDefault="00B34C17">
      <w:pPr>
        <w:spacing w:after="0" w:line="240" w:lineRule="auto"/>
      </w:pPr>
      <w:r>
        <w:separator/>
      </w:r>
    </w:p>
  </w:footnote>
  <w:footnote w:type="continuationSeparator" w:id="0">
    <w:p w14:paraId="32D75665" w14:textId="77777777" w:rsidR="00B34C17" w:rsidRDefault="00B34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BE3FAA"/>
    <w:multiLevelType w:val="multilevel"/>
    <w:tmpl w:val="3156FDF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EB0D2A"/>
    <w:multiLevelType w:val="multilevel"/>
    <w:tmpl w:val="6C08F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85779BA"/>
    <w:multiLevelType w:val="multilevel"/>
    <w:tmpl w:val="63BA64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1894088B"/>
    <w:multiLevelType w:val="multilevel"/>
    <w:tmpl w:val="E42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1"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49764F"/>
    <w:multiLevelType w:val="multilevel"/>
    <w:tmpl w:val="2116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E44BE5"/>
    <w:multiLevelType w:val="multilevel"/>
    <w:tmpl w:val="B5F8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0A07D3A"/>
    <w:multiLevelType w:val="multilevel"/>
    <w:tmpl w:val="E04C4C5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8B0505B"/>
    <w:multiLevelType w:val="multilevel"/>
    <w:tmpl w:val="18AE0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CBE5BB9"/>
    <w:multiLevelType w:val="multilevel"/>
    <w:tmpl w:val="2AB85E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F55591"/>
    <w:multiLevelType w:val="hybridMultilevel"/>
    <w:tmpl w:val="B49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DD25F5"/>
    <w:multiLevelType w:val="multilevel"/>
    <w:tmpl w:val="D3783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0"/>
  </w:num>
  <w:num w:numId="2">
    <w:abstractNumId w:val="2"/>
  </w:num>
  <w:num w:numId="3">
    <w:abstractNumId w:val="6"/>
  </w:num>
  <w:num w:numId="4">
    <w:abstractNumId w:val="12"/>
  </w:num>
  <w:num w:numId="5">
    <w:abstractNumId w:val="24"/>
  </w:num>
  <w:num w:numId="6">
    <w:abstractNumId w:val="9"/>
  </w:num>
  <w:num w:numId="7">
    <w:abstractNumId w:val="10"/>
  </w:num>
  <w:num w:numId="8">
    <w:abstractNumId w:val="16"/>
  </w:num>
  <w:num w:numId="9">
    <w:abstractNumId w:val="11"/>
  </w:num>
  <w:num w:numId="10">
    <w:abstractNumId w:val="4"/>
  </w:num>
  <w:num w:numId="11">
    <w:abstractNumId w:val="18"/>
  </w:num>
  <w:num w:numId="12">
    <w:abstractNumId w:val="0"/>
  </w:num>
  <w:num w:numId="13">
    <w:abstractNumId w:val="22"/>
  </w:num>
  <w:num w:numId="14">
    <w:abstractNumId w:val="1"/>
  </w:num>
  <w:num w:numId="15">
    <w:abstractNumId w:val="21"/>
  </w:num>
  <w:num w:numId="16">
    <w:abstractNumId w:val="3"/>
  </w:num>
  <w:num w:numId="17">
    <w:abstractNumId w:val="13"/>
  </w:num>
  <w:num w:numId="18">
    <w:abstractNumId w:val="25"/>
  </w:num>
  <w:num w:numId="19">
    <w:abstractNumId w:val="14"/>
  </w:num>
  <w:num w:numId="20">
    <w:abstractNumId w:val="23"/>
  </w:num>
  <w:num w:numId="21">
    <w:abstractNumId w:val="17"/>
  </w:num>
  <w:num w:numId="22">
    <w:abstractNumId w:val="8"/>
  </w:num>
  <w:num w:numId="23">
    <w:abstractNumId w:val="5"/>
  </w:num>
  <w:num w:numId="24">
    <w:abstractNumId w:val="7"/>
  </w:num>
  <w:num w:numId="25">
    <w:abstractNumId w:val="19"/>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013DD"/>
    <w:rsid w:val="00060535"/>
    <w:rsid w:val="000620D9"/>
    <w:rsid w:val="0007255B"/>
    <w:rsid w:val="000944CB"/>
    <w:rsid w:val="0009609E"/>
    <w:rsid w:val="000A7462"/>
    <w:rsid w:val="000D5129"/>
    <w:rsid w:val="000D596B"/>
    <w:rsid w:val="000E1E51"/>
    <w:rsid w:val="000F388A"/>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2F5488"/>
    <w:rsid w:val="003246D4"/>
    <w:rsid w:val="00336F45"/>
    <w:rsid w:val="00337D40"/>
    <w:rsid w:val="003445C2"/>
    <w:rsid w:val="0036018B"/>
    <w:rsid w:val="00372F11"/>
    <w:rsid w:val="003738EE"/>
    <w:rsid w:val="0038237A"/>
    <w:rsid w:val="0038684D"/>
    <w:rsid w:val="0039367A"/>
    <w:rsid w:val="003B614E"/>
    <w:rsid w:val="003F130B"/>
    <w:rsid w:val="00410D5B"/>
    <w:rsid w:val="00424003"/>
    <w:rsid w:val="00432260"/>
    <w:rsid w:val="00456A21"/>
    <w:rsid w:val="0045787B"/>
    <w:rsid w:val="00472CC0"/>
    <w:rsid w:val="00476C4E"/>
    <w:rsid w:val="004805D0"/>
    <w:rsid w:val="00483169"/>
    <w:rsid w:val="00485A23"/>
    <w:rsid w:val="00486540"/>
    <w:rsid w:val="0049054D"/>
    <w:rsid w:val="004920FD"/>
    <w:rsid w:val="004927FC"/>
    <w:rsid w:val="004A4115"/>
    <w:rsid w:val="004E0C11"/>
    <w:rsid w:val="004E21F3"/>
    <w:rsid w:val="004E2B56"/>
    <w:rsid w:val="004E4352"/>
    <w:rsid w:val="004E5578"/>
    <w:rsid w:val="004E7A3A"/>
    <w:rsid w:val="004F649D"/>
    <w:rsid w:val="005065EA"/>
    <w:rsid w:val="0050701A"/>
    <w:rsid w:val="00517B93"/>
    <w:rsid w:val="00520D8B"/>
    <w:rsid w:val="0052356C"/>
    <w:rsid w:val="005339DB"/>
    <w:rsid w:val="00552E95"/>
    <w:rsid w:val="00553053"/>
    <w:rsid w:val="00571295"/>
    <w:rsid w:val="005C4572"/>
    <w:rsid w:val="005C551F"/>
    <w:rsid w:val="005C7C0D"/>
    <w:rsid w:val="005D1C37"/>
    <w:rsid w:val="005E5DE9"/>
    <w:rsid w:val="005E6EA2"/>
    <w:rsid w:val="00601D4C"/>
    <w:rsid w:val="00601F02"/>
    <w:rsid w:val="00635082"/>
    <w:rsid w:val="00646F8B"/>
    <w:rsid w:val="006526C2"/>
    <w:rsid w:val="00655B14"/>
    <w:rsid w:val="00665F1B"/>
    <w:rsid w:val="00672599"/>
    <w:rsid w:val="00697030"/>
    <w:rsid w:val="006B5298"/>
    <w:rsid w:val="006C5EC1"/>
    <w:rsid w:val="006D5E2A"/>
    <w:rsid w:val="006E31D6"/>
    <w:rsid w:val="006F1786"/>
    <w:rsid w:val="007109A2"/>
    <w:rsid w:val="00745E73"/>
    <w:rsid w:val="00760EC5"/>
    <w:rsid w:val="007617B3"/>
    <w:rsid w:val="0076552C"/>
    <w:rsid w:val="00776D22"/>
    <w:rsid w:val="0078713D"/>
    <w:rsid w:val="00817D0D"/>
    <w:rsid w:val="00856B1B"/>
    <w:rsid w:val="0087037C"/>
    <w:rsid w:val="00874B8B"/>
    <w:rsid w:val="00875A61"/>
    <w:rsid w:val="00880290"/>
    <w:rsid w:val="00883F7C"/>
    <w:rsid w:val="00886E74"/>
    <w:rsid w:val="008A43BB"/>
    <w:rsid w:val="008B6528"/>
    <w:rsid w:val="008B7E07"/>
    <w:rsid w:val="008C4373"/>
    <w:rsid w:val="008D70FC"/>
    <w:rsid w:val="008E5E01"/>
    <w:rsid w:val="008E6562"/>
    <w:rsid w:val="00903244"/>
    <w:rsid w:val="00911531"/>
    <w:rsid w:val="009135C4"/>
    <w:rsid w:val="00916CC7"/>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34C17"/>
    <w:rsid w:val="00B66436"/>
    <w:rsid w:val="00B76F72"/>
    <w:rsid w:val="00B7751E"/>
    <w:rsid w:val="00B86805"/>
    <w:rsid w:val="00B96E24"/>
    <w:rsid w:val="00BC1DFF"/>
    <w:rsid w:val="00BE44F4"/>
    <w:rsid w:val="00BE7A34"/>
    <w:rsid w:val="00C07935"/>
    <w:rsid w:val="00C12A87"/>
    <w:rsid w:val="00C47095"/>
    <w:rsid w:val="00C67086"/>
    <w:rsid w:val="00C70A45"/>
    <w:rsid w:val="00C7141C"/>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D2100"/>
    <w:rsid w:val="00DE4AE8"/>
    <w:rsid w:val="00E110F3"/>
    <w:rsid w:val="00E17946"/>
    <w:rsid w:val="00E5216E"/>
    <w:rsid w:val="00E73DF6"/>
    <w:rsid w:val="00E74220"/>
    <w:rsid w:val="00E96056"/>
    <w:rsid w:val="00E96744"/>
    <w:rsid w:val="00EB1EDB"/>
    <w:rsid w:val="00EB3030"/>
    <w:rsid w:val="00EC3C41"/>
    <w:rsid w:val="00EC4102"/>
    <w:rsid w:val="00ED74F3"/>
    <w:rsid w:val="00EE732A"/>
    <w:rsid w:val="00EF257D"/>
    <w:rsid w:val="00EF6CE7"/>
    <w:rsid w:val="00F0284E"/>
    <w:rsid w:val="00F032A8"/>
    <w:rsid w:val="00F23BE5"/>
    <w:rsid w:val="00F2743B"/>
    <w:rsid w:val="00F57FFD"/>
    <w:rsid w:val="00F7377C"/>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ycorps.org/tender" TargetMode="External"/><Relationship Id="rId13" Type="http://schemas.openxmlformats.org/officeDocument/2006/relationships/hyperlink" Target="https://www.mercycorps.org/tender" TargetMode="External"/><Relationship Id="rId18" Type="http://schemas.openxmlformats.org/officeDocument/2006/relationships/package" Target="embeddings/Microsoft_Word_Document1.docx"/><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hyperlink" Target="http://www.mercycorpsagrifin.org" TargetMode="External"/><Relationship Id="rId12" Type="http://schemas.openxmlformats.org/officeDocument/2006/relationships/hyperlink" Target="https://www.mercycorps.org/tender"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package" Target="embeddings/Microsoft_Word_Document2.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cycorpsagrifin.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tegrityhotline@mercycorps.org" TargetMode="External"/><Relationship Id="rId23" Type="http://schemas.openxmlformats.org/officeDocument/2006/relationships/header" Target="header1.xml"/><Relationship Id="rId10" Type="http://schemas.openxmlformats.org/officeDocument/2006/relationships/hyperlink" Target="mailto:tenders@mercycorps.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agrifinprocurement@mercycorps.org" TargetMode="External"/><Relationship Id="rId14" Type="http://schemas.openxmlformats.org/officeDocument/2006/relationships/hyperlink" Target="http://www.mercycorpsagrifin.org" TargetMode="External"/><Relationship Id="rId22" Type="http://schemas.openxmlformats.org/officeDocument/2006/relationships/package" Target="embeddings/Microsoft_Excel_Worksheet3.xlsx"/><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6001</Words>
  <Characters>34208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hottensiah</cp:lastModifiedBy>
  <cp:revision>3</cp:revision>
  <cp:lastPrinted>2020-04-30T07:26:00Z</cp:lastPrinted>
  <dcterms:created xsi:type="dcterms:W3CDTF">2020-07-15T10:41:00Z</dcterms:created>
  <dcterms:modified xsi:type="dcterms:W3CDTF">2020-07-16T10:14:00Z</dcterms:modified>
</cp:coreProperties>
</file>