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trPr>
          <w:trHeight w:val="400"/>
        </w:trPr>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Tender No:</w:t>
            </w:r>
            <w:r w:rsidR="00166584">
              <w:rPr>
                <w:b/>
              </w:rPr>
              <w:t xml:space="preserve"> </w:t>
            </w:r>
            <w:r w:rsidR="00D758C9">
              <w:rPr>
                <w:rFonts w:ascii="Times New Roman" w:hAnsi="Times New Roman" w:cs="Times New Roman"/>
                <w:b/>
                <w:sz w:val="22"/>
                <w:szCs w:val="22"/>
              </w:rPr>
              <w:t>MC-AFA/NBO/033</w:t>
            </w:r>
            <w:r w:rsidR="00166584">
              <w:rPr>
                <w:rFonts w:ascii="Times New Roman" w:hAnsi="Times New Roman" w:cs="Times New Roman"/>
                <w:b/>
                <w:sz w:val="22"/>
                <w:szCs w:val="22"/>
              </w:rPr>
              <w:t>/ 2020</w:t>
            </w:r>
          </w:p>
        </w:tc>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Addendum No:</w:t>
            </w:r>
            <w:r w:rsidR="00D758C9">
              <w:rPr>
                <w:b/>
              </w:rPr>
              <w:t xml:space="preserve"> 06</w:t>
            </w:r>
            <w:r w:rsidR="00166584">
              <w:rPr>
                <w:b/>
              </w:rPr>
              <w:t>/2020</w:t>
            </w:r>
          </w:p>
        </w:tc>
      </w:tr>
      <w:tr w:rsidR="00CB6EF5">
        <w:trPr>
          <w:trHeight w:val="400"/>
        </w:trPr>
        <w:tc>
          <w:tcPr>
            <w:tcW w:w="5400" w:type="dxa"/>
            <w:shd w:val="clear" w:color="auto" w:fill="auto"/>
            <w:tcMar>
              <w:top w:w="100" w:type="dxa"/>
              <w:left w:w="100" w:type="dxa"/>
              <w:bottom w:w="100" w:type="dxa"/>
              <w:right w:w="100" w:type="dxa"/>
            </w:tcMar>
          </w:tcPr>
          <w:p w:rsidR="00CB6EF5" w:rsidRDefault="00BC573A" w:rsidP="00D758C9">
            <w:pPr>
              <w:widowControl w:val="0"/>
              <w:spacing w:after="0" w:line="240" w:lineRule="auto"/>
              <w:rPr>
                <w:b/>
              </w:rPr>
            </w:pPr>
            <w:r>
              <w:rPr>
                <w:b/>
              </w:rPr>
              <w:t>Tender Name:</w:t>
            </w:r>
            <w:r w:rsidR="00166584" w:rsidRPr="005C4572">
              <w:rPr>
                <w:rFonts w:ascii="Times New Roman" w:hAnsi="Times New Roman" w:cs="Times New Roman"/>
                <w:b/>
                <w:sz w:val="22"/>
                <w:szCs w:val="22"/>
                <w:lang w:val="en-US"/>
              </w:rPr>
              <w:t xml:space="preserve"> </w:t>
            </w:r>
            <w:r w:rsidR="00D758C9">
              <w:rPr>
                <w:rFonts w:ascii="Times New Roman" w:hAnsi="Times New Roman" w:cs="Times New Roman"/>
                <w:b/>
                <w:sz w:val="22"/>
                <w:szCs w:val="22"/>
              </w:rPr>
              <w:t xml:space="preserve">Design of </w:t>
            </w:r>
            <w:r w:rsidR="00D758C9" w:rsidRPr="00925E6F">
              <w:rPr>
                <w:rFonts w:ascii="Times New Roman" w:hAnsi="Times New Roman" w:cs="Times New Roman"/>
                <w:b/>
                <w:sz w:val="22"/>
                <w:szCs w:val="22"/>
                <w:lang w:val="en-US"/>
              </w:rPr>
              <w:t>Agrib</w:t>
            </w:r>
            <w:r w:rsidR="00D758C9">
              <w:rPr>
                <w:rFonts w:ascii="Times New Roman" w:hAnsi="Times New Roman" w:cs="Times New Roman"/>
                <w:b/>
                <w:sz w:val="22"/>
                <w:szCs w:val="22"/>
                <w:lang w:val="en-US"/>
              </w:rPr>
              <w:t>usiness operated platform</w:t>
            </w:r>
          </w:p>
        </w:tc>
        <w:tc>
          <w:tcPr>
            <w:tcW w:w="5400" w:type="dxa"/>
            <w:shd w:val="clear" w:color="auto" w:fill="auto"/>
            <w:tcMar>
              <w:top w:w="100" w:type="dxa"/>
              <w:left w:w="100" w:type="dxa"/>
              <w:bottom w:w="100" w:type="dxa"/>
              <w:right w:w="100" w:type="dxa"/>
            </w:tcMar>
          </w:tcPr>
          <w:p w:rsidR="00CB6EF5" w:rsidRDefault="00BC573A">
            <w:pPr>
              <w:widowControl w:val="0"/>
              <w:spacing w:after="0" w:line="240" w:lineRule="auto"/>
              <w:rPr>
                <w:b/>
              </w:rPr>
            </w:pPr>
            <w:r>
              <w:rPr>
                <w:b/>
              </w:rPr>
              <w:t>Date Issued:</w:t>
            </w:r>
            <w:r w:rsidR="00D758C9">
              <w:rPr>
                <w:b/>
              </w:rPr>
              <w:t>19</w:t>
            </w:r>
            <w:r w:rsidR="00166584" w:rsidRPr="00166584">
              <w:rPr>
                <w:b/>
                <w:vertAlign w:val="superscript"/>
              </w:rPr>
              <w:t>th</w:t>
            </w:r>
            <w:r w:rsidR="00166584">
              <w:rPr>
                <w:b/>
              </w:rPr>
              <w:t xml:space="preserve"> June 2020</w:t>
            </w:r>
          </w:p>
        </w:tc>
      </w:tr>
    </w:tbl>
    <w:p w:rsidR="00CB6EF5" w:rsidRDefault="00CB6EF5">
      <w:pPr>
        <w:spacing w:line="240" w:lineRule="auto"/>
        <w:rPr>
          <w:rFonts w:ascii="Times New Roman" w:eastAsia="Times New Roman" w:hAnsi="Times New Roman" w:cs="Times New Roman"/>
          <w:color w:val="000000"/>
          <w:sz w:val="22"/>
          <w:szCs w:val="22"/>
        </w:rPr>
      </w:pPr>
    </w:p>
    <w:p w:rsidR="00CB6EF5" w:rsidRDefault="00BC573A">
      <w:p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This letter amends the copy of the Tender Package as detailed below. Tenderers are required to sign and return this addendum with the tender submission as confirmation that the addendum was taken into consideration.</w:t>
      </w:r>
    </w:p>
    <w:p w:rsidR="00CB6EF5" w:rsidRDefault="00BC573A">
      <w:pP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CB6EF5" w:rsidRDefault="00BC573A">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Details of addendum:</w:t>
      </w:r>
    </w:p>
    <w:p w:rsidR="00CB6EF5" w:rsidRDefault="00BC57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of the Tender Package have been amended:</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rPr>
          <w:rFonts w:eastAsia="Times New Roman"/>
          <w:lang w:val="en-US"/>
        </w:rPr>
      </w:pPr>
      <w:r w:rsidRPr="00D758C9">
        <w:rPr>
          <w:rFonts w:ascii="Times New Roman" w:eastAsia="Times New Roman" w:hAnsi="Times New Roman" w:cs="Times New Roman"/>
          <w:color w:val="0000FF"/>
          <w:sz w:val="24"/>
          <w:szCs w:val="24"/>
        </w:rPr>
        <w:t xml:space="preserve">[ON THE REQUEST FOR PROPOSAL: section 3.2 </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160" w:line="288" w:lineRule="auto"/>
        <w:rPr>
          <w:rFonts w:eastAsia="Times New Roman"/>
          <w:lang w:val="en-US"/>
        </w:rPr>
      </w:pPr>
      <w:r w:rsidRPr="00D758C9">
        <w:rPr>
          <w:rFonts w:ascii="Times New Roman" w:eastAsia="Times New Roman" w:hAnsi="Times New Roman" w:cs="Times New Roman"/>
          <w:b/>
          <w:bCs/>
          <w:color w:val="000000"/>
          <w:sz w:val="22"/>
          <w:szCs w:val="22"/>
        </w:rPr>
        <w:t>3.2       Specific Eligibility Criteria</w:t>
      </w:r>
      <w:r w:rsidRPr="00D758C9">
        <w:rPr>
          <w:rFonts w:ascii="Times New Roman" w:eastAsia="Times New Roman" w:hAnsi="Times New Roman" w:cs="Times New Roman"/>
          <w:color w:val="000000"/>
          <w:sz w:val="22"/>
          <w:szCs w:val="22"/>
        </w:rPr>
        <w:t xml:space="preserve"> </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lang w:val="en-US"/>
        </w:rPr>
      </w:pPr>
      <w:r w:rsidRPr="00D758C9">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D758C9">
        <w:rPr>
          <w:rFonts w:ascii="Times New Roman" w:eastAsia="Times New Roman" w:hAnsi="Times New Roman" w:cs="Times New Roman"/>
          <w:b/>
          <w:bCs/>
          <w:color w:val="000000"/>
          <w:sz w:val="22"/>
          <w:szCs w:val="22"/>
          <w:u w:val="single"/>
        </w:rPr>
        <w:t>must</w:t>
      </w:r>
      <w:r w:rsidRPr="00D758C9">
        <w:rPr>
          <w:rFonts w:ascii="Times New Roman" w:eastAsia="Times New Roman" w:hAnsi="Times New Roman" w:cs="Times New Roman"/>
          <w:b/>
          <w:bCs/>
          <w:color w:val="000000"/>
          <w:sz w:val="22"/>
          <w:szCs w:val="22"/>
        </w:rPr>
        <w:t xml:space="preserve"> </w:t>
      </w:r>
      <w:r w:rsidRPr="00D758C9">
        <w:rPr>
          <w:rFonts w:ascii="Times New Roman" w:eastAsia="Times New Roman" w:hAnsi="Times New Roman" w:cs="Times New Roman"/>
          <w:color w:val="000000"/>
          <w:sz w:val="22"/>
          <w:szCs w:val="22"/>
        </w:rPr>
        <w:t xml:space="preserve">be submitted with offers. </w:t>
      </w:r>
      <w:proofErr w:type="spellStart"/>
      <w:r w:rsidRPr="00D758C9">
        <w:rPr>
          <w:rFonts w:ascii="Times New Roman" w:eastAsia="Times New Roman" w:hAnsi="Times New Roman" w:cs="Times New Roman"/>
          <w:color w:val="000000"/>
          <w:sz w:val="22"/>
          <w:szCs w:val="22"/>
        </w:rPr>
        <w:t>Offeror</w:t>
      </w:r>
      <w:proofErr w:type="spellEnd"/>
      <w:r w:rsidRPr="00D758C9">
        <w:rPr>
          <w:rFonts w:ascii="Times New Roman" w:eastAsia="Times New Roman" w:hAnsi="Times New Roman" w:cs="Times New Roman"/>
          <w:color w:val="000000"/>
          <w:sz w:val="22"/>
          <w:szCs w:val="22"/>
        </w:rPr>
        <w:t xml:space="preserve"> who do not submit these documents may be </w:t>
      </w:r>
      <w:r w:rsidRPr="00D758C9">
        <w:rPr>
          <w:rFonts w:ascii="Times New Roman" w:eastAsia="Times New Roman" w:hAnsi="Times New Roman" w:cs="Times New Roman"/>
          <w:b/>
          <w:bCs/>
          <w:color w:val="000000"/>
          <w:sz w:val="22"/>
          <w:szCs w:val="22"/>
          <w:u w:val="single"/>
        </w:rPr>
        <w:t>disqualified</w:t>
      </w:r>
      <w:r w:rsidRPr="00D758C9">
        <w:rPr>
          <w:rFonts w:ascii="Times New Roman" w:eastAsia="Times New Roman" w:hAnsi="Times New Roman" w:cs="Times New Roman"/>
          <w:b/>
          <w:bCs/>
          <w:color w:val="000000"/>
          <w:sz w:val="22"/>
          <w:szCs w:val="22"/>
        </w:rPr>
        <w:t xml:space="preserve"> </w:t>
      </w:r>
      <w:r w:rsidRPr="00D758C9">
        <w:rPr>
          <w:rFonts w:ascii="Times New Roman" w:eastAsia="Times New Roman" w:hAnsi="Times New Roman" w:cs="Times New Roman"/>
          <w:color w:val="000000"/>
          <w:sz w:val="22"/>
          <w:szCs w:val="22"/>
        </w:rPr>
        <w:t>from any further technical or financial evaluation.</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160" w:line="328" w:lineRule="auto"/>
        <w:rPr>
          <w:rFonts w:eastAsia="Times New Roman"/>
          <w:lang w:val="en-US"/>
        </w:rPr>
      </w:pPr>
      <w:r w:rsidRPr="00D758C9">
        <w:rPr>
          <w:rFonts w:ascii="Times New Roman" w:eastAsia="Times New Roman" w:hAnsi="Times New Roman" w:cs="Times New Roman"/>
          <w:color w:val="000000"/>
          <w:sz w:val="22"/>
          <w:szCs w:val="22"/>
        </w:rPr>
        <w:t>Eligibility Criteria:</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0" w:line="328" w:lineRule="auto"/>
        <w:ind w:left="720"/>
        <w:rPr>
          <w:rFonts w:ascii="Calibri" w:eastAsia="Times New Roman" w:hAnsi="Calibri" w:cs="Calibri"/>
          <w:color w:val="000000"/>
          <w:sz w:val="22"/>
          <w:szCs w:val="22"/>
          <w:lang w:val="en-US"/>
        </w:rPr>
      </w:pPr>
      <w:r w:rsidRPr="00D758C9">
        <w:rPr>
          <w:rFonts w:ascii="Symbol" w:eastAsia="Times New Roman" w:hAnsi="Symbol" w:cs="Calibri"/>
          <w:color w:val="000000"/>
          <w:sz w:val="22"/>
          <w:szCs w:val="22"/>
        </w:rPr>
        <w:t></w:t>
      </w:r>
      <w:r w:rsidRPr="00D758C9">
        <w:rPr>
          <w:rFonts w:ascii="Times New Roman" w:eastAsia="Times New Roman" w:hAnsi="Times New Roman" w:cs="Times New Roman"/>
          <w:color w:val="000000"/>
          <w:sz w:val="14"/>
          <w:szCs w:val="14"/>
        </w:rPr>
        <w:t xml:space="preserve">        </w:t>
      </w:r>
      <w:r w:rsidRPr="00D758C9">
        <w:rPr>
          <w:rFonts w:ascii="Times New Roman" w:eastAsia="Times New Roman" w:hAnsi="Times New Roman" w:cs="Times New Roman"/>
          <w:color w:val="000000"/>
          <w:sz w:val="22"/>
          <w:szCs w:val="22"/>
        </w:rPr>
        <w:t xml:space="preserve">The firm must be an eligible business under the applicable laws and regulations </w:t>
      </w:r>
      <w:proofErr w:type="gramStart"/>
      <w:r w:rsidRPr="00D758C9">
        <w:rPr>
          <w:rFonts w:ascii="Times New Roman" w:eastAsia="Times New Roman" w:hAnsi="Times New Roman" w:cs="Times New Roman"/>
          <w:color w:val="000000"/>
          <w:sz w:val="22"/>
          <w:szCs w:val="22"/>
        </w:rPr>
        <w:t>in  Nigeria</w:t>
      </w:r>
      <w:proofErr w:type="gramEnd"/>
    </w:p>
    <w:p w:rsidR="00D758C9" w:rsidRDefault="00D758C9" w:rsidP="00D758C9">
      <w:pPr>
        <w:pBdr>
          <w:top w:val="none" w:sz="0" w:space="0" w:color="auto"/>
          <w:left w:val="none" w:sz="0" w:space="0" w:color="auto"/>
          <w:bottom w:val="none" w:sz="0" w:space="0" w:color="auto"/>
          <w:right w:val="none" w:sz="0" w:space="0" w:color="auto"/>
          <w:between w:val="none" w:sz="0" w:space="0" w:color="auto"/>
        </w:pBdr>
        <w:spacing w:after="0" w:line="328" w:lineRule="auto"/>
        <w:ind w:left="720"/>
        <w:rPr>
          <w:rFonts w:ascii="Calibri" w:eastAsia="Times New Roman" w:hAnsi="Calibri" w:cs="Calibri"/>
          <w:color w:val="000000"/>
          <w:sz w:val="22"/>
          <w:szCs w:val="22"/>
          <w:lang w:val="en-US"/>
        </w:rPr>
      </w:pPr>
      <w:r w:rsidRPr="00D758C9">
        <w:rPr>
          <w:rFonts w:ascii="Symbol" w:eastAsia="Times New Roman" w:hAnsi="Symbol" w:cs="Calibri"/>
          <w:color w:val="000000"/>
          <w:sz w:val="22"/>
          <w:szCs w:val="22"/>
        </w:rPr>
        <w:t></w:t>
      </w:r>
      <w:r w:rsidRPr="00D758C9">
        <w:rPr>
          <w:rFonts w:ascii="Times New Roman" w:eastAsia="Times New Roman" w:hAnsi="Times New Roman" w:cs="Times New Roman"/>
          <w:color w:val="000000"/>
          <w:sz w:val="14"/>
          <w:szCs w:val="14"/>
        </w:rPr>
        <w:t xml:space="preserve">        </w:t>
      </w:r>
      <w:r w:rsidRPr="00D758C9">
        <w:rPr>
          <w:rFonts w:ascii="Times New Roman" w:eastAsia="Times New Roman" w:hAnsi="Times New Roman" w:cs="Times New Roman"/>
          <w:color w:val="000000"/>
          <w:sz w:val="22"/>
          <w:szCs w:val="22"/>
        </w:rPr>
        <w:t xml:space="preserve">The firm must be in good standing with the taxation or legal authorities in Nigeria </w:t>
      </w:r>
    </w:p>
    <w:p w:rsidR="00D758C9" w:rsidRPr="00D758C9" w:rsidRDefault="00D758C9" w:rsidP="00D758C9">
      <w:pPr>
        <w:pStyle w:val="ListParagraph"/>
        <w:numPr>
          <w:ilvl w:val="0"/>
          <w:numId w:val="3"/>
        </w:numPr>
        <w:pBdr>
          <w:top w:val="none" w:sz="0" w:space="0" w:color="auto"/>
          <w:left w:val="none" w:sz="0" w:space="0" w:color="auto"/>
          <w:bottom w:val="none" w:sz="0" w:space="0" w:color="auto"/>
          <w:right w:val="none" w:sz="0" w:space="0" w:color="auto"/>
          <w:between w:val="none" w:sz="0" w:space="0" w:color="auto"/>
        </w:pBdr>
        <w:spacing w:after="0" w:line="328" w:lineRule="auto"/>
        <w:rPr>
          <w:rFonts w:ascii="Calibri" w:eastAsia="Times New Roman" w:hAnsi="Calibri" w:cs="Calibri"/>
          <w:color w:val="000000"/>
          <w:sz w:val="22"/>
          <w:szCs w:val="22"/>
          <w:lang w:val="en-US"/>
        </w:rPr>
      </w:pPr>
      <w:r w:rsidRPr="00D758C9">
        <w:rPr>
          <w:rFonts w:ascii="Times New Roman" w:eastAsia="Times New Roman" w:hAnsi="Times New Roman" w:cs="Times New Roman"/>
          <w:color w:val="auto"/>
        </w:rPr>
        <w:t>The firm must have a satisfactory record of performance and business ethics based on information available to Mercy Corps}</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rPr>
      </w:pPr>
      <w:r w:rsidRPr="00D758C9">
        <w:rPr>
          <w:rFonts w:ascii="Times New Roman" w:eastAsia="Times New Roman" w:hAnsi="Times New Roman" w:cs="Times New Roman"/>
          <w:color w:val="0000FF"/>
          <w:sz w:val="24"/>
          <w:szCs w:val="24"/>
          <w:lang w:val="en-US"/>
        </w:rPr>
        <w:t>HAS BEEN REPLACED WITH:</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rPr>
      </w:pPr>
      <w:r w:rsidRPr="00D758C9">
        <w:rPr>
          <w:rFonts w:ascii="Times New Roman" w:eastAsia="Times New Roman" w:hAnsi="Times New Roman" w:cs="Times New Roman"/>
          <w:b/>
          <w:bCs/>
          <w:color w:val="4472C4" w:themeColor="accent1"/>
          <w:sz w:val="24"/>
          <w:szCs w:val="24"/>
          <w:lang w:val="en-US"/>
        </w:rPr>
        <w:t>[</w:t>
      </w:r>
      <w:r w:rsidRPr="00D758C9">
        <w:rPr>
          <w:rFonts w:ascii="Times New Roman" w:eastAsia="Times New Roman" w:hAnsi="Times New Roman" w:cs="Times New Roman"/>
          <w:b/>
          <w:bCs/>
          <w:color w:val="000000"/>
          <w:sz w:val="24"/>
          <w:szCs w:val="24"/>
          <w:lang w:val="en-US"/>
        </w:rPr>
        <w:t>3.2       Specific Eligibility Criteria</w:t>
      </w:r>
      <w:r w:rsidRPr="00D758C9">
        <w:rPr>
          <w:rFonts w:ascii="Times New Roman" w:eastAsia="Times New Roman" w:hAnsi="Times New Roman" w:cs="Times New Roman"/>
          <w:color w:val="0000FF"/>
          <w:sz w:val="24"/>
          <w:szCs w:val="24"/>
          <w:lang w:val="en-US"/>
        </w:rPr>
        <w:t xml:space="preserve"> </w:t>
      </w: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en-US"/>
        </w:rPr>
      </w:pPr>
    </w:p>
    <w:p w:rsidR="00D758C9" w:rsidRPr="00D758C9" w:rsidRDefault="00D758C9" w:rsidP="00D758C9">
      <w:pPr>
        <w:pBdr>
          <w:top w:val="none" w:sz="0" w:space="0" w:color="auto"/>
          <w:left w:val="none" w:sz="0" w:space="0" w:color="auto"/>
          <w:bottom w:val="none" w:sz="0" w:space="0" w:color="auto"/>
          <w:right w:val="none" w:sz="0" w:space="0" w:color="auto"/>
          <w:between w:val="none" w:sz="0" w:space="0" w:color="auto"/>
        </w:pBdr>
        <w:spacing w:after="160" w:line="240" w:lineRule="auto"/>
        <w:rPr>
          <w:rFonts w:eastAsia="Times New Roman"/>
          <w:lang w:val="en-US"/>
        </w:rPr>
      </w:pPr>
      <w:r w:rsidRPr="00D758C9">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D758C9">
        <w:rPr>
          <w:rFonts w:ascii="Times New Roman" w:eastAsia="Times New Roman" w:hAnsi="Times New Roman" w:cs="Times New Roman"/>
          <w:b/>
          <w:bCs/>
          <w:color w:val="000000"/>
          <w:sz w:val="22"/>
          <w:szCs w:val="22"/>
          <w:u w:val="single"/>
        </w:rPr>
        <w:t>must</w:t>
      </w:r>
      <w:r w:rsidRPr="00D758C9">
        <w:rPr>
          <w:rFonts w:ascii="Times New Roman" w:eastAsia="Times New Roman" w:hAnsi="Times New Roman" w:cs="Times New Roman"/>
          <w:b/>
          <w:bCs/>
          <w:color w:val="000000"/>
          <w:sz w:val="22"/>
          <w:szCs w:val="22"/>
        </w:rPr>
        <w:t xml:space="preserve"> </w:t>
      </w:r>
      <w:r w:rsidRPr="00D758C9">
        <w:rPr>
          <w:rFonts w:ascii="Times New Roman" w:eastAsia="Times New Roman" w:hAnsi="Times New Roman" w:cs="Times New Roman"/>
          <w:color w:val="000000"/>
          <w:sz w:val="22"/>
          <w:szCs w:val="22"/>
        </w:rPr>
        <w:t xml:space="preserve">be submitted with offers. </w:t>
      </w:r>
      <w:proofErr w:type="spellStart"/>
      <w:r w:rsidRPr="00D758C9">
        <w:rPr>
          <w:rFonts w:ascii="Times New Roman" w:eastAsia="Times New Roman" w:hAnsi="Times New Roman" w:cs="Times New Roman"/>
          <w:color w:val="000000"/>
          <w:sz w:val="22"/>
          <w:szCs w:val="22"/>
        </w:rPr>
        <w:t>Offeror</w:t>
      </w:r>
      <w:proofErr w:type="spellEnd"/>
      <w:r w:rsidRPr="00D758C9">
        <w:rPr>
          <w:rFonts w:ascii="Times New Roman" w:eastAsia="Times New Roman" w:hAnsi="Times New Roman" w:cs="Times New Roman"/>
          <w:color w:val="000000"/>
          <w:sz w:val="22"/>
          <w:szCs w:val="22"/>
        </w:rPr>
        <w:t xml:space="preserve"> who do not submit these documents may be </w:t>
      </w:r>
      <w:r w:rsidRPr="00D758C9">
        <w:rPr>
          <w:rFonts w:ascii="Times New Roman" w:eastAsia="Times New Roman" w:hAnsi="Times New Roman" w:cs="Times New Roman"/>
          <w:b/>
          <w:bCs/>
          <w:color w:val="000000"/>
          <w:sz w:val="22"/>
          <w:szCs w:val="22"/>
          <w:u w:val="single"/>
        </w:rPr>
        <w:t>disqualified</w:t>
      </w:r>
      <w:r w:rsidRPr="00D758C9">
        <w:rPr>
          <w:rFonts w:ascii="Times New Roman" w:eastAsia="Times New Roman" w:hAnsi="Times New Roman" w:cs="Times New Roman"/>
          <w:b/>
          <w:bCs/>
          <w:color w:val="000000"/>
          <w:sz w:val="22"/>
          <w:szCs w:val="22"/>
        </w:rPr>
        <w:t xml:space="preserve"> </w:t>
      </w:r>
      <w:r w:rsidRPr="00D758C9">
        <w:rPr>
          <w:rFonts w:ascii="Times New Roman" w:eastAsia="Times New Roman" w:hAnsi="Times New Roman" w:cs="Times New Roman"/>
          <w:color w:val="000000"/>
          <w:sz w:val="22"/>
          <w:szCs w:val="22"/>
        </w:rPr>
        <w:t>from any further technical or financial evaluation.</w:t>
      </w:r>
    </w:p>
    <w:p w:rsidR="00D758C9" w:rsidRDefault="00D758C9" w:rsidP="00D758C9">
      <w:pPr>
        <w:pBdr>
          <w:top w:val="none" w:sz="0" w:space="0" w:color="auto"/>
          <w:left w:val="none" w:sz="0" w:space="0" w:color="auto"/>
          <w:bottom w:val="none" w:sz="0" w:space="0" w:color="auto"/>
          <w:right w:val="none" w:sz="0" w:space="0" w:color="auto"/>
          <w:between w:val="none" w:sz="0" w:space="0" w:color="auto"/>
        </w:pBdr>
        <w:spacing w:after="160" w:line="328" w:lineRule="auto"/>
        <w:rPr>
          <w:rFonts w:ascii="Times New Roman" w:eastAsia="Times New Roman" w:hAnsi="Times New Roman" w:cs="Times New Roman"/>
          <w:color w:val="000000"/>
          <w:sz w:val="22"/>
          <w:szCs w:val="22"/>
        </w:rPr>
      </w:pPr>
      <w:r w:rsidRPr="00D758C9">
        <w:rPr>
          <w:rFonts w:ascii="Times New Roman" w:eastAsia="Times New Roman" w:hAnsi="Times New Roman" w:cs="Times New Roman"/>
          <w:color w:val="000000"/>
          <w:sz w:val="22"/>
          <w:szCs w:val="22"/>
        </w:rPr>
        <w:t>Eligibility Criteria:</w:t>
      </w:r>
    </w:p>
    <w:p w:rsidR="003E2EDE" w:rsidRPr="005C4572" w:rsidRDefault="003E2EDE" w:rsidP="003E2EDE">
      <w:pPr>
        <w:pStyle w:val="ListParagraph"/>
        <w:numPr>
          <w:ilvl w:val="0"/>
          <w:numId w:val="4"/>
        </w:numPr>
        <w:spacing w:after="160" w:line="331" w:lineRule="auto"/>
        <w:rPr>
          <w:rFonts w:ascii="Times New Roman" w:eastAsia="Times New Roman" w:hAnsi="Times New Roman" w:cs="Times New Roman"/>
        </w:rPr>
      </w:pPr>
      <w:r w:rsidRPr="005C4572">
        <w:rPr>
          <w:rFonts w:ascii="Times New Roman" w:eastAsia="Times New Roman" w:hAnsi="Times New Roman" w:cs="Times New Roman"/>
        </w:rPr>
        <w:t>The firm must be an eligible business under the applicable l</w:t>
      </w:r>
      <w:r>
        <w:rPr>
          <w:rFonts w:ascii="Times New Roman" w:eastAsia="Times New Roman" w:hAnsi="Times New Roman" w:cs="Times New Roman"/>
        </w:rPr>
        <w:t>aws and regulations in country(s) of operation</w:t>
      </w:r>
    </w:p>
    <w:p w:rsidR="003E2EDE" w:rsidRPr="005C4572" w:rsidRDefault="003E2EDE" w:rsidP="003E2EDE">
      <w:pPr>
        <w:pStyle w:val="ListParagraph"/>
        <w:numPr>
          <w:ilvl w:val="0"/>
          <w:numId w:val="4"/>
        </w:numPr>
        <w:spacing w:after="160" w:line="331" w:lineRule="auto"/>
        <w:rPr>
          <w:rFonts w:ascii="Times New Roman" w:eastAsia="Times New Roman" w:hAnsi="Times New Roman" w:cs="Times New Roman"/>
        </w:rPr>
      </w:pPr>
      <w:r w:rsidRPr="005C4572">
        <w:rPr>
          <w:rFonts w:ascii="Times New Roman" w:eastAsia="Times New Roman" w:hAnsi="Times New Roman" w:cs="Times New Roman"/>
        </w:rPr>
        <w:t>The firm must be in go</w:t>
      </w:r>
      <w:bookmarkStart w:id="1" w:name="_GoBack"/>
      <w:bookmarkEnd w:id="1"/>
      <w:r w:rsidRPr="005C4572">
        <w:rPr>
          <w:rFonts w:ascii="Times New Roman" w:eastAsia="Times New Roman" w:hAnsi="Times New Roman" w:cs="Times New Roman"/>
        </w:rPr>
        <w:t xml:space="preserve">od standing with the taxation or legal authorities </w:t>
      </w:r>
      <w:r>
        <w:rPr>
          <w:rFonts w:ascii="Times New Roman" w:eastAsia="Times New Roman" w:hAnsi="Times New Roman" w:cs="Times New Roman"/>
        </w:rPr>
        <w:t>in country(s) of operation</w:t>
      </w:r>
    </w:p>
    <w:p w:rsidR="003E2EDE" w:rsidRPr="003E2EDE" w:rsidRDefault="003E2EDE" w:rsidP="003E2EDE">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spacing w:after="160" w:line="328" w:lineRule="auto"/>
        <w:rPr>
          <w:rFonts w:eastAsia="Times New Roman"/>
          <w:lang w:val="en-US"/>
        </w:rPr>
      </w:pPr>
      <w:r w:rsidRPr="003E2EDE">
        <w:rPr>
          <w:rFonts w:ascii="Times New Roman" w:eastAsia="Times New Roman" w:hAnsi="Times New Roman" w:cs="Times New Roman"/>
        </w:rPr>
        <w:t>The firm must have a satisfactory record of performance and business ethics based on information available to Mercy Corps</w:t>
      </w:r>
      <w:r w:rsidRPr="003E2EDE">
        <w:rPr>
          <w:rFonts w:ascii="Times New Roman" w:eastAsia="Times New Roman" w:hAnsi="Times New Roman" w:cs="Times New Roman"/>
          <w:color w:val="4472C4" w:themeColor="accent1"/>
        </w:rPr>
        <w:t>]</w:t>
      </w:r>
    </w:p>
    <w:p w:rsidR="00CB6EF5" w:rsidRDefault="00BC573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All other terms and conditions remain unchanged.</w:t>
      </w:r>
    </w:p>
    <w:p w:rsidR="00CB6EF5" w:rsidRDefault="00BC573A">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4"/>
          <w:szCs w:val="24"/>
        </w:rPr>
        <w:t>*******************************</w:t>
      </w:r>
    </w:p>
    <w:p w:rsidR="00CB6EF5" w:rsidRDefault="00BC573A">
      <w:r>
        <w:rPr>
          <w:rFonts w:ascii="Times New Roman" w:eastAsia="Times New Roman" w:hAnsi="Times New Roman" w:cs="Times New Roman"/>
          <w:color w:val="000000"/>
          <w:sz w:val="24"/>
          <w:szCs w:val="24"/>
        </w:rPr>
        <w:t>We acknowledge receipt of the above referenced Addendum to the Tender Package, and the Tender Addendum shall be incorporated into our Tender submission.</w:t>
      </w:r>
    </w:p>
    <w:tbl>
      <w:tblPr>
        <w:tblStyle w:val="a0"/>
        <w:tblW w:w="1079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85"/>
        <w:gridCol w:w="6127"/>
        <w:gridCol w:w="255"/>
        <w:gridCol w:w="3225"/>
      </w:tblGrid>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 xml:space="preserve">Name: </w:t>
            </w:r>
          </w:p>
        </w:tc>
        <w:tc>
          <w:tcPr>
            <w:tcW w:w="6127" w:type="dxa"/>
            <w:tcBorders>
              <w:top w:val="single" w:sz="8" w:space="0" w:color="FFFFFF"/>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val="restart"/>
            <w:shd w:val="clear" w:color="auto" w:fill="auto"/>
            <w:tcMar>
              <w:top w:w="100" w:type="dxa"/>
              <w:left w:w="100" w:type="dxa"/>
              <w:bottom w:w="100" w:type="dxa"/>
              <w:right w:w="100" w:type="dxa"/>
            </w:tcMar>
          </w:tcPr>
          <w:p w:rsidR="00CB6EF5" w:rsidRDefault="00BC573A">
            <w:pPr>
              <w:widowControl w:val="0"/>
              <w:spacing w:after="0" w:line="240" w:lineRule="auto"/>
            </w:pPr>
            <w:r>
              <w:t xml:space="preserve">Stamp: </w:t>
            </w: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Signature: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r w:rsidR="00CB6EF5" w:rsidTr="00EE03AA">
        <w:trPr>
          <w:trHeight w:val="400"/>
        </w:trPr>
        <w:tc>
          <w:tcPr>
            <w:tcW w:w="118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CB6EF5" w:rsidRDefault="00BC573A">
            <w:pPr>
              <w:widowControl w:val="0"/>
              <w:spacing w:after="0" w:line="240" w:lineRule="auto"/>
            </w:pPr>
            <w:r>
              <w:t>Date:</w:t>
            </w:r>
          </w:p>
        </w:tc>
        <w:tc>
          <w:tcPr>
            <w:tcW w:w="6127" w:type="dxa"/>
            <w:tcBorders>
              <w:left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25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rsidR="00CB6EF5" w:rsidRDefault="00CB6EF5">
            <w:pPr>
              <w:widowControl w:val="0"/>
              <w:spacing w:after="0" w:line="240" w:lineRule="auto"/>
            </w:pPr>
          </w:p>
        </w:tc>
        <w:tc>
          <w:tcPr>
            <w:tcW w:w="3225" w:type="dxa"/>
            <w:vMerge/>
            <w:shd w:val="clear" w:color="auto" w:fill="auto"/>
            <w:tcMar>
              <w:top w:w="100" w:type="dxa"/>
              <w:left w:w="100" w:type="dxa"/>
              <w:bottom w:w="100" w:type="dxa"/>
              <w:right w:w="100" w:type="dxa"/>
            </w:tcMar>
          </w:tcPr>
          <w:p w:rsidR="00CB6EF5" w:rsidRDefault="00CB6EF5">
            <w:pPr>
              <w:widowControl w:val="0"/>
              <w:spacing w:after="0" w:line="240" w:lineRule="auto"/>
            </w:pPr>
          </w:p>
        </w:tc>
      </w:tr>
    </w:tbl>
    <w:p w:rsidR="00CB6EF5" w:rsidRDefault="00CB6EF5">
      <w:pPr>
        <w:widowControl w:val="0"/>
        <w:spacing w:after="160" w:line="240" w:lineRule="auto"/>
        <w:rPr>
          <w:rFonts w:ascii="Times New Roman" w:eastAsia="Times New Roman" w:hAnsi="Times New Roman" w:cs="Times New Roman"/>
          <w:color w:val="000000"/>
          <w:sz w:val="22"/>
          <w:szCs w:val="22"/>
        </w:rPr>
      </w:pPr>
    </w:p>
    <w:p w:rsidR="00CB6EF5" w:rsidRDefault="00CB6EF5">
      <w:pPr>
        <w:widowControl w:val="0"/>
        <w:spacing w:after="160" w:line="240" w:lineRule="auto"/>
      </w:pPr>
    </w:p>
    <w:sectPr w:rsidR="00CB6EF5" w:rsidSect="00EE03AA">
      <w:headerReference w:type="default" r:id="rId7"/>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727" w:rsidRDefault="000D0727">
      <w:pPr>
        <w:spacing w:after="0" w:line="240" w:lineRule="auto"/>
      </w:pPr>
      <w:r>
        <w:separator/>
      </w:r>
    </w:p>
  </w:endnote>
  <w:endnote w:type="continuationSeparator" w:id="0">
    <w:p w:rsidR="000D0727" w:rsidRDefault="000D0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727" w:rsidRDefault="000D0727">
      <w:pPr>
        <w:spacing w:after="0" w:line="240" w:lineRule="auto"/>
      </w:pPr>
      <w:r>
        <w:separator/>
      </w:r>
    </w:p>
  </w:footnote>
  <w:footnote w:type="continuationSeparator" w:id="0">
    <w:p w:rsidR="000D0727" w:rsidRDefault="000D0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EF5" w:rsidRDefault="00BC573A">
    <w:pPr>
      <w:pStyle w:val="Title"/>
      <w:spacing w:before="0" w:after="0"/>
      <w:rPr>
        <w:sz w:val="36"/>
        <w:szCs w:val="36"/>
      </w:rPr>
    </w:pPr>
    <w:bookmarkStart w:id="2" w:name="_fxpprzt9v65c" w:colFirst="0" w:colLast="0"/>
    <w:bookmarkEnd w:id="2"/>
    <w:r>
      <w:rPr>
        <w:noProof/>
        <w:lang w:val="en-US"/>
      </w:rPr>
      <w:drawing>
        <wp:anchor distT="114300" distB="114300" distL="114300" distR="114300" simplePos="0" relativeHeight="251658240" behindDoc="0" locked="0" layoutInCell="1" hidden="0" allowOverlap="1">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rsidR="00CB6EF5" w:rsidRDefault="00BC573A">
    <w:pPr>
      <w:pStyle w:val="Title"/>
      <w:spacing w:before="0" w:after="0" w:line="240" w:lineRule="auto"/>
      <w:rPr>
        <w:sz w:val="36"/>
        <w:szCs w:val="36"/>
      </w:rPr>
    </w:pPr>
    <w:bookmarkStart w:id="3" w:name="_j8ygr4y4rt81" w:colFirst="0" w:colLast="0"/>
    <w:bookmarkEnd w:id="3"/>
    <w:r>
      <w:rPr>
        <w:sz w:val="36"/>
        <w:szCs w:val="36"/>
      </w:rPr>
      <w:t xml:space="preserve">Addendum to Tender Package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CBE"/>
    <w:multiLevelType w:val="hybridMultilevel"/>
    <w:tmpl w:val="C56A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7382D"/>
    <w:multiLevelType w:val="multilevel"/>
    <w:tmpl w:val="CBEEE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14E41"/>
    <w:multiLevelType w:val="multilevel"/>
    <w:tmpl w:val="9A287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AC7991"/>
    <w:multiLevelType w:val="hybridMultilevel"/>
    <w:tmpl w:val="FF9C8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EF5"/>
    <w:rsid w:val="00013698"/>
    <w:rsid w:val="000D0727"/>
    <w:rsid w:val="00166584"/>
    <w:rsid w:val="00216A39"/>
    <w:rsid w:val="003B6F14"/>
    <w:rsid w:val="003E2EDE"/>
    <w:rsid w:val="0042478C"/>
    <w:rsid w:val="00473923"/>
    <w:rsid w:val="007F502D"/>
    <w:rsid w:val="00BC573A"/>
    <w:rsid w:val="00CB6EF5"/>
    <w:rsid w:val="00D758C9"/>
    <w:rsid w:val="00EE03AA"/>
    <w:rsid w:val="00F15B5F"/>
    <w:rsid w:val="00F57764"/>
    <w:rsid w:val="00F83C92"/>
    <w:rsid w:val="00FB4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DE2A"/>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customStyle="1" w:styleId="gmail-msolistparagraph">
    <w:name w:val="gmail-msolistparagraph"/>
    <w:basedOn w:val="Normal"/>
    <w:rsid w:val="00D758C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uiPriority w:val="34"/>
    <w:qFormat/>
    <w:rsid w:val="00D75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483163">
      <w:bodyDiv w:val="1"/>
      <w:marLeft w:val="0"/>
      <w:marRight w:val="0"/>
      <w:marTop w:val="0"/>
      <w:marBottom w:val="0"/>
      <w:divBdr>
        <w:top w:val="none" w:sz="0" w:space="0" w:color="auto"/>
        <w:left w:val="none" w:sz="0" w:space="0" w:color="auto"/>
        <w:bottom w:val="none" w:sz="0" w:space="0" w:color="auto"/>
        <w:right w:val="none" w:sz="0" w:space="0" w:color="auto"/>
      </w:divBdr>
      <w:divsChild>
        <w:div w:id="78990623">
          <w:marLeft w:val="0"/>
          <w:marRight w:val="0"/>
          <w:marTop w:val="0"/>
          <w:marBottom w:val="0"/>
          <w:divBdr>
            <w:top w:val="none" w:sz="0" w:space="0" w:color="auto"/>
            <w:left w:val="none" w:sz="0" w:space="0" w:color="auto"/>
            <w:bottom w:val="none" w:sz="0" w:space="0" w:color="auto"/>
            <w:right w:val="none" w:sz="0" w:space="0" w:color="auto"/>
          </w:divBdr>
        </w:div>
        <w:div w:id="1119224105">
          <w:marLeft w:val="0"/>
          <w:marRight w:val="0"/>
          <w:marTop w:val="0"/>
          <w:marBottom w:val="0"/>
          <w:divBdr>
            <w:top w:val="none" w:sz="0" w:space="0" w:color="auto"/>
            <w:left w:val="none" w:sz="0" w:space="0" w:color="auto"/>
            <w:bottom w:val="none" w:sz="0" w:space="0" w:color="auto"/>
            <w:right w:val="none" w:sz="0" w:space="0" w:color="auto"/>
          </w:divBdr>
        </w:div>
        <w:div w:id="2011325464">
          <w:marLeft w:val="0"/>
          <w:marRight w:val="0"/>
          <w:marTop w:val="0"/>
          <w:marBottom w:val="0"/>
          <w:divBdr>
            <w:top w:val="none" w:sz="0" w:space="0" w:color="auto"/>
            <w:left w:val="none" w:sz="0" w:space="0" w:color="auto"/>
            <w:bottom w:val="none" w:sz="0" w:space="0" w:color="auto"/>
            <w:right w:val="none" w:sz="0" w:space="0" w:color="auto"/>
          </w:divBdr>
        </w:div>
        <w:div w:id="15884173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dgitimu</cp:lastModifiedBy>
  <cp:revision>9</cp:revision>
  <dcterms:created xsi:type="dcterms:W3CDTF">2017-10-17T20:32:00Z</dcterms:created>
  <dcterms:modified xsi:type="dcterms:W3CDTF">2020-06-19T08:50:00Z</dcterms:modified>
</cp:coreProperties>
</file>